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AE54" w14:textId="77777777" w:rsidR="00F30BB2" w:rsidRDefault="00F30BB2" w:rsidP="005617DE">
      <w:pPr>
        <w:pStyle w:val="HTMLPreformatted"/>
        <w:jc w:val="both"/>
        <w:rPr>
          <w:rFonts w:ascii="Arial" w:hAnsi="Arial" w:cs="Arial"/>
        </w:rPr>
      </w:pPr>
    </w:p>
    <w:p w14:paraId="3D7A5D51" w14:textId="77777777" w:rsidR="00F30BB2" w:rsidRDefault="00F30BB2" w:rsidP="005617DE">
      <w:pPr>
        <w:pStyle w:val="HTMLPreformatted"/>
        <w:jc w:val="both"/>
        <w:rPr>
          <w:rFonts w:ascii="Arial" w:hAnsi="Arial" w:cs="Arial"/>
        </w:rPr>
      </w:pPr>
    </w:p>
    <w:p w14:paraId="7541C47F" w14:textId="1264BB83" w:rsidR="00B678DB" w:rsidRDefault="00896947" w:rsidP="005617DE">
      <w:pPr>
        <w:pStyle w:val="HTMLPreformatted"/>
        <w:jc w:val="both"/>
        <w:rPr>
          <w:rFonts w:ascii="Arial" w:hAnsi="Arial" w:cs="Arial"/>
        </w:rPr>
      </w:pPr>
      <w:r w:rsidRPr="005617DE">
        <w:rPr>
          <w:rFonts w:ascii="Arial" w:hAnsi="Arial" w:cs="Arial"/>
        </w:rPr>
        <w:t xml:space="preserve">1NVEST SA BOND ETF </w:t>
      </w:r>
    </w:p>
    <w:p w14:paraId="22878482" w14:textId="2B7CFEA5" w:rsidR="00896947" w:rsidRPr="005617DE" w:rsidRDefault="00896947" w:rsidP="005617DE">
      <w:pPr>
        <w:pStyle w:val="HTMLPreformatted"/>
        <w:jc w:val="both"/>
        <w:rPr>
          <w:rFonts w:ascii="Arial" w:hAnsi="Arial" w:cs="Arial"/>
        </w:rPr>
      </w:pPr>
      <w:r w:rsidRPr="005617DE">
        <w:rPr>
          <w:rFonts w:ascii="Arial" w:hAnsi="Arial" w:cs="Arial"/>
        </w:rPr>
        <w:t>(“ETFSBOND”) (being a portfolio under the STANLIB ETF Collective Investment Scheme registered in the Republic of South Africa in terms of Collective Investment Schemes Control Act, 45 of 2002 (“CISCA”)                   </w:t>
      </w:r>
    </w:p>
    <w:p w14:paraId="3DFEE5CC" w14:textId="72A44211" w:rsidR="00EF216A" w:rsidRPr="005617DE" w:rsidRDefault="00EF216A" w:rsidP="005617DE">
      <w:pPr>
        <w:pStyle w:val="NoSpacing"/>
        <w:rPr>
          <w:rFonts w:ascii="Arial" w:hAnsi="Arial" w:cs="Arial"/>
          <w:sz w:val="20"/>
          <w:szCs w:val="20"/>
        </w:rPr>
      </w:pPr>
      <w:r w:rsidRPr="005617DE">
        <w:rPr>
          <w:rFonts w:ascii="Arial" w:hAnsi="Arial" w:cs="Arial"/>
          <w:sz w:val="20"/>
          <w:szCs w:val="20"/>
        </w:rPr>
        <w:t>Share Code: ETFBND</w:t>
      </w:r>
    </w:p>
    <w:p w14:paraId="76C28EC9" w14:textId="77777777" w:rsidR="00EF216A" w:rsidRPr="005617DE" w:rsidRDefault="00EF216A" w:rsidP="005617DE">
      <w:pPr>
        <w:pStyle w:val="NoSpacing"/>
        <w:rPr>
          <w:rFonts w:ascii="Arial" w:hAnsi="Arial" w:cs="Arial"/>
          <w:sz w:val="20"/>
          <w:szCs w:val="20"/>
        </w:rPr>
      </w:pPr>
      <w:r w:rsidRPr="005617DE">
        <w:rPr>
          <w:rFonts w:ascii="Arial" w:hAnsi="Arial" w:cs="Arial"/>
          <w:sz w:val="20"/>
          <w:szCs w:val="20"/>
        </w:rPr>
        <w:t>Abbreviated Name: ETFSBOND</w:t>
      </w:r>
    </w:p>
    <w:p w14:paraId="20ECA065" w14:textId="77777777" w:rsidR="00EF216A" w:rsidRPr="005617DE" w:rsidRDefault="00EF216A" w:rsidP="005617DE">
      <w:pPr>
        <w:pStyle w:val="NoSpacing"/>
        <w:rPr>
          <w:rFonts w:ascii="Arial" w:hAnsi="Arial" w:cs="Arial"/>
          <w:sz w:val="20"/>
          <w:szCs w:val="20"/>
        </w:rPr>
      </w:pPr>
      <w:r w:rsidRPr="005617DE">
        <w:rPr>
          <w:rFonts w:ascii="Arial" w:hAnsi="Arial" w:cs="Arial"/>
          <w:sz w:val="20"/>
          <w:szCs w:val="20"/>
        </w:rPr>
        <w:t>ISIN: ZAE000265625</w:t>
      </w:r>
    </w:p>
    <w:p w14:paraId="29052C0E" w14:textId="6598E050" w:rsidR="008642CE" w:rsidRDefault="00EF216A" w:rsidP="005617DE">
      <w:pPr>
        <w:pStyle w:val="NoSpacing"/>
        <w:rPr>
          <w:rFonts w:ascii="Arial" w:hAnsi="Arial" w:cs="Arial"/>
          <w:sz w:val="20"/>
          <w:szCs w:val="20"/>
        </w:rPr>
      </w:pPr>
      <w:r w:rsidRPr="005617DE">
        <w:rPr>
          <w:rFonts w:ascii="Arial" w:hAnsi="Arial" w:cs="Arial"/>
          <w:sz w:val="20"/>
          <w:szCs w:val="20"/>
        </w:rPr>
        <w:t>("ETFSBOND")</w:t>
      </w:r>
    </w:p>
    <w:p w14:paraId="34E2461D" w14:textId="77777777" w:rsidR="00634926" w:rsidRPr="005617DE" w:rsidRDefault="00634926" w:rsidP="005617DE">
      <w:pPr>
        <w:pStyle w:val="NoSpacing"/>
        <w:rPr>
          <w:rFonts w:ascii="Arial" w:hAnsi="Arial" w:cs="Arial"/>
          <w:sz w:val="20"/>
          <w:szCs w:val="20"/>
        </w:rPr>
      </w:pPr>
    </w:p>
    <w:p w14:paraId="563E2C85" w14:textId="1E67ABC4" w:rsidR="00896947" w:rsidRPr="005617DE" w:rsidRDefault="00634926" w:rsidP="00896947">
      <w:pPr>
        <w:pStyle w:val="HTMLPreformatted"/>
        <w:jc w:val="both"/>
        <w:rPr>
          <w:rFonts w:ascii="Arial" w:hAnsi="Arial" w:cs="Arial"/>
          <w:b/>
        </w:rPr>
      </w:pPr>
      <w:r w:rsidRPr="005617DE">
        <w:rPr>
          <w:rFonts w:ascii="Arial" w:hAnsi="Arial" w:cs="Arial"/>
          <w:b/>
        </w:rPr>
        <w:t xml:space="preserve">CONSOLIDATION OF PARTICIPATORY INTERESTS </w:t>
      </w:r>
      <w:r>
        <w:rPr>
          <w:rFonts w:ascii="Arial" w:hAnsi="Arial" w:cs="Arial"/>
          <w:b/>
        </w:rPr>
        <w:t>I</w:t>
      </w:r>
      <w:r w:rsidRPr="005617DE">
        <w:rPr>
          <w:rFonts w:ascii="Arial" w:hAnsi="Arial" w:cs="Arial"/>
          <w:b/>
        </w:rPr>
        <w:t xml:space="preserve">N </w:t>
      </w:r>
      <w:r>
        <w:rPr>
          <w:rFonts w:ascii="Arial" w:hAnsi="Arial" w:cs="Arial"/>
          <w:b/>
        </w:rPr>
        <w:t>T</w:t>
      </w:r>
      <w:r w:rsidRPr="005617DE">
        <w:rPr>
          <w:rFonts w:ascii="Arial" w:hAnsi="Arial" w:cs="Arial"/>
          <w:b/>
        </w:rPr>
        <w:t>HE 1NVEST SA BOND ETF</w:t>
      </w:r>
    </w:p>
    <w:p w14:paraId="2A3EDEE8" w14:textId="77777777" w:rsidR="00896947" w:rsidRPr="005617DE" w:rsidRDefault="00896947" w:rsidP="00896947">
      <w:pPr>
        <w:pStyle w:val="HTMLPreformatted"/>
        <w:ind w:left="720"/>
        <w:jc w:val="both"/>
        <w:rPr>
          <w:rFonts w:ascii="Arial" w:hAnsi="Arial" w:cs="Arial"/>
          <w:b/>
        </w:rPr>
      </w:pPr>
    </w:p>
    <w:p w14:paraId="48FA3609" w14:textId="77777777" w:rsidR="00896947" w:rsidRPr="005617DE" w:rsidRDefault="00896947" w:rsidP="00896947">
      <w:pPr>
        <w:pStyle w:val="HTMLPreformatted"/>
        <w:ind w:left="720"/>
        <w:jc w:val="both"/>
        <w:rPr>
          <w:rFonts w:ascii="Arial" w:hAnsi="Arial" w:cs="Arial"/>
        </w:rPr>
      </w:pPr>
    </w:p>
    <w:p w14:paraId="41F7C33F" w14:textId="77777777" w:rsidR="00896947" w:rsidRPr="005617DE" w:rsidRDefault="00896947" w:rsidP="00896947">
      <w:pPr>
        <w:pStyle w:val="HTMLPreformatted"/>
        <w:numPr>
          <w:ilvl w:val="0"/>
          <w:numId w:val="1"/>
        </w:numPr>
        <w:ind w:left="360"/>
        <w:jc w:val="both"/>
        <w:rPr>
          <w:rFonts w:ascii="Arial" w:hAnsi="Arial" w:cs="Arial"/>
          <w:b/>
        </w:rPr>
      </w:pPr>
      <w:r w:rsidRPr="005617DE">
        <w:rPr>
          <w:rFonts w:ascii="Arial" w:hAnsi="Arial" w:cs="Arial"/>
          <w:b/>
        </w:rPr>
        <w:t>Introduction</w:t>
      </w:r>
    </w:p>
    <w:p w14:paraId="590A28C5" w14:textId="77777777" w:rsidR="00896947" w:rsidRPr="005617DE" w:rsidRDefault="00896947" w:rsidP="00896947">
      <w:pPr>
        <w:pStyle w:val="HTMLPreformatted"/>
        <w:jc w:val="both"/>
        <w:rPr>
          <w:rFonts w:ascii="Arial" w:hAnsi="Arial" w:cs="Arial"/>
        </w:rPr>
      </w:pPr>
    </w:p>
    <w:p w14:paraId="75CAE215" w14:textId="3BDE843B" w:rsidR="00896947" w:rsidRPr="005617DE" w:rsidRDefault="00896947" w:rsidP="00896947">
      <w:pPr>
        <w:pStyle w:val="HTMLPreformatted"/>
        <w:ind w:left="360"/>
        <w:jc w:val="both"/>
        <w:rPr>
          <w:rFonts w:ascii="Arial" w:hAnsi="Arial" w:cs="Arial"/>
        </w:rPr>
      </w:pPr>
      <w:r w:rsidRPr="005617DE">
        <w:rPr>
          <w:rFonts w:ascii="Arial" w:hAnsi="Arial" w:cs="Arial"/>
        </w:rPr>
        <w:t>Holders of 1NVEST SA BOND ETF participatory interests (“Secur</w:t>
      </w:r>
      <w:r w:rsidR="007063BE" w:rsidRPr="005617DE">
        <w:rPr>
          <w:rFonts w:ascii="Arial" w:hAnsi="Arial" w:cs="Arial"/>
        </w:rPr>
        <w:t>ity</w:t>
      </w:r>
      <w:r w:rsidRPr="005617DE">
        <w:rPr>
          <w:rFonts w:ascii="Arial" w:hAnsi="Arial" w:cs="Arial"/>
        </w:rPr>
        <w:t xml:space="preserve">”) are advised that the JSE Limited (“JSE”) has approved an application by the manager of the STANLIB ETF Collective Investment Scheme (“the Manager”) to proceed with a consolidation of Securities in </w:t>
      </w:r>
      <w:r w:rsidR="00310556" w:rsidRPr="005617DE">
        <w:rPr>
          <w:rFonts w:ascii="Arial" w:hAnsi="Arial" w:cs="Arial"/>
        </w:rPr>
        <w:t>ETFSBON</w:t>
      </w:r>
      <w:r w:rsidR="007063BE" w:rsidRPr="005617DE">
        <w:rPr>
          <w:rFonts w:ascii="Arial" w:hAnsi="Arial" w:cs="Arial"/>
        </w:rPr>
        <w:t xml:space="preserve">D </w:t>
      </w:r>
      <w:r w:rsidRPr="005617DE">
        <w:rPr>
          <w:rFonts w:ascii="Arial" w:hAnsi="Arial" w:cs="Arial"/>
        </w:rPr>
        <w:t>(“the Consolidation”).</w:t>
      </w:r>
    </w:p>
    <w:p w14:paraId="03503BA4" w14:textId="77777777" w:rsidR="00896947" w:rsidRPr="005617DE" w:rsidRDefault="00896947" w:rsidP="00896947">
      <w:pPr>
        <w:pStyle w:val="HTMLPreformatted"/>
        <w:ind w:left="360"/>
        <w:jc w:val="both"/>
        <w:rPr>
          <w:rFonts w:ascii="Arial" w:hAnsi="Arial" w:cs="Arial"/>
        </w:rPr>
      </w:pPr>
    </w:p>
    <w:p w14:paraId="380CA75E" w14:textId="2BD78DBC" w:rsidR="00896947" w:rsidRPr="005617DE" w:rsidRDefault="00896947" w:rsidP="00896947">
      <w:pPr>
        <w:pStyle w:val="HTMLPreformatted"/>
        <w:ind w:left="360"/>
        <w:jc w:val="both"/>
        <w:rPr>
          <w:rFonts w:ascii="Arial" w:hAnsi="Arial" w:cs="Arial"/>
        </w:rPr>
      </w:pPr>
      <w:r w:rsidRPr="005617DE">
        <w:rPr>
          <w:rFonts w:ascii="Arial" w:hAnsi="Arial" w:cs="Arial"/>
        </w:rPr>
        <w:t xml:space="preserve">In terms of the Consolidation, the Manager will reduce the number of Securities that an investor holds and accordingly increase the value of each Security. The portfolio value of each investor will therefore remain unchanged. </w:t>
      </w:r>
    </w:p>
    <w:p w14:paraId="587DA21B" w14:textId="77777777" w:rsidR="00896947" w:rsidRPr="005617DE" w:rsidRDefault="00896947" w:rsidP="00896947">
      <w:pPr>
        <w:pStyle w:val="HTMLPreformatted"/>
        <w:ind w:left="360"/>
        <w:jc w:val="both"/>
        <w:rPr>
          <w:rFonts w:ascii="Arial" w:hAnsi="Arial" w:cs="Arial"/>
        </w:rPr>
      </w:pPr>
    </w:p>
    <w:p w14:paraId="66C0D84C" w14:textId="77777777" w:rsidR="00896947" w:rsidRPr="005617DE" w:rsidRDefault="00896947" w:rsidP="00896947">
      <w:pPr>
        <w:pStyle w:val="HTMLPreformatted"/>
        <w:numPr>
          <w:ilvl w:val="0"/>
          <w:numId w:val="1"/>
        </w:numPr>
        <w:ind w:left="360"/>
        <w:jc w:val="both"/>
        <w:rPr>
          <w:rFonts w:ascii="Arial" w:hAnsi="Arial" w:cs="Arial"/>
          <w:b/>
        </w:rPr>
      </w:pPr>
      <w:r w:rsidRPr="005617DE">
        <w:rPr>
          <w:rFonts w:ascii="Arial" w:hAnsi="Arial" w:cs="Arial"/>
          <w:b/>
        </w:rPr>
        <w:t xml:space="preserve">Effective date </w:t>
      </w:r>
    </w:p>
    <w:p w14:paraId="0F36CA6E" w14:textId="77777777" w:rsidR="00896947" w:rsidRPr="005617DE" w:rsidRDefault="00896947" w:rsidP="00896947">
      <w:pPr>
        <w:pStyle w:val="HTMLPreformatted"/>
        <w:jc w:val="both"/>
        <w:rPr>
          <w:rFonts w:ascii="Arial" w:hAnsi="Arial" w:cs="Arial"/>
        </w:rPr>
      </w:pPr>
    </w:p>
    <w:p w14:paraId="4400AA3D" w14:textId="54DBDE18" w:rsidR="00896947" w:rsidRPr="005617DE" w:rsidRDefault="00896947" w:rsidP="00896947">
      <w:pPr>
        <w:pStyle w:val="HTMLPreformatted"/>
        <w:ind w:left="360"/>
        <w:jc w:val="both"/>
        <w:rPr>
          <w:rFonts w:ascii="Arial" w:hAnsi="Arial" w:cs="Arial"/>
        </w:rPr>
      </w:pPr>
      <w:r w:rsidRPr="005617DE">
        <w:rPr>
          <w:rFonts w:ascii="Arial" w:hAnsi="Arial" w:cs="Arial"/>
        </w:rPr>
        <w:t xml:space="preserve">The effective date of the Consolidation is </w:t>
      </w:r>
      <w:r w:rsidR="00580E8B" w:rsidRPr="005617DE">
        <w:rPr>
          <w:rFonts w:ascii="Arial" w:hAnsi="Arial" w:cs="Arial"/>
        </w:rPr>
        <w:t>28</w:t>
      </w:r>
      <w:r w:rsidRPr="005617DE">
        <w:rPr>
          <w:rFonts w:ascii="Arial" w:hAnsi="Arial" w:cs="Arial"/>
        </w:rPr>
        <w:t xml:space="preserve"> </w:t>
      </w:r>
      <w:r w:rsidR="00B3647F" w:rsidRPr="005617DE">
        <w:rPr>
          <w:rFonts w:ascii="Arial" w:hAnsi="Arial" w:cs="Arial"/>
        </w:rPr>
        <w:t>Decem</w:t>
      </w:r>
      <w:r w:rsidR="000119A7" w:rsidRPr="005617DE">
        <w:rPr>
          <w:rFonts w:ascii="Arial" w:hAnsi="Arial" w:cs="Arial"/>
        </w:rPr>
        <w:t>ber</w:t>
      </w:r>
      <w:r w:rsidRPr="005617DE">
        <w:rPr>
          <w:rFonts w:ascii="Arial" w:hAnsi="Arial" w:cs="Arial"/>
        </w:rPr>
        <w:t xml:space="preserve"> 20</w:t>
      </w:r>
      <w:r w:rsidR="00310556" w:rsidRPr="005617DE">
        <w:rPr>
          <w:rFonts w:ascii="Arial" w:hAnsi="Arial" w:cs="Arial"/>
        </w:rPr>
        <w:t>22</w:t>
      </w:r>
      <w:r w:rsidRPr="005617DE">
        <w:rPr>
          <w:rFonts w:ascii="Arial" w:hAnsi="Arial" w:cs="Arial"/>
        </w:rPr>
        <w:t>.</w:t>
      </w:r>
    </w:p>
    <w:p w14:paraId="688FBC8D" w14:textId="77777777" w:rsidR="00896947" w:rsidRPr="005617DE" w:rsidRDefault="00896947" w:rsidP="00896947">
      <w:pPr>
        <w:pStyle w:val="HTMLPreformatted"/>
        <w:ind w:left="360"/>
        <w:jc w:val="both"/>
        <w:rPr>
          <w:rFonts w:ascii="Arial" w:hAnsi="Arial" w:cs="Arial"/>
        </w:rPr>
      </w:pPr>
    </w:p>
    <w:p w14:paraId="6D41579E" w14:textId="0FBD5E20" w:rsidR="00896947" w:rsidRPr="005617DE" w:rsidRDefault="00896947" w:rsidP="00896947">
      <w:pPr>
        <w:pStyle w:val="HTMLPreformatted"/>
        <w:numPr>
          <w:ilvl w:val="0"/>
          <w:numId w:val="1"/>
        </w:numPr>
        <w:ind w:left="360"/>
        <w:jc w:val="both"/>
        <w:rPr>
          <w:rFonts w:ascii="Arial" w:hAnsi="Arial" w:cs="Arial"/>
          <w:b/>
        </w:rPr>
      </w:pPr>
      <w:r w:rsidRPr="005617DE">
        <w:rPr>
          <w:rFonts w:ascii="Arial" w:hAnsi="Arial" w:cs="Arial"/>
          <w:b/>
        </w:rPr>
        <w:t>Rationale for the Consolidation</w:t>
      </w:r>
    </w:p>
    <w:p w14:paraId="7ECB45E6" w14:textId="77777777" w:rsidR="00896947" w:rsidRPr="005617DE" w:rsidRDefault="00896947" w:rsidP="00896947">
      <w:pPr>
        <w:pStyle w:val="HTMLPreformatted"/>
        <w:jc w:val="both"/>
        <w:rPr>
          <w:rFonts w:ascii="Arial" w:hAnsi="Arial" w:cs="Arial"/>
        </w:rPr>
      </w:pPr>
    </w:p>
    <w:p w14:paraId="230C3BAC" w14:textId="071591AC" w:rsidR="00896947" w:rsidRPr="005617DE" w:rsidRDefault="00310556" w:rsidP="00896947">
      <w:pPr>
        <w:pStyle w:val="HTMLPreformatted"/>
        <w:ind w:left="360"/>
        <w:jc w:val="both"/>
        <w:rPr>
          <w:rFonts w:ascii="Arial" w:hAnsi="Arial" w:cs="Arial"/>
        </w:rPr>
      </w:pPr>
      <w:r w:rsidRPr="005617DE">
        <w:rPr>
          <w:rFonts w:ascii="Arial" w:hAnsi="Arial" w:cs="Arial"/>
        </w:rPr>
        <w:t xml:space="preserve">Effective 01 April 2022, the </w:t>
      </w:r>
      <w:r w:rsidR="007063BE" w:rsidRPr="005617DE">
        <w:rPr>
          <w:rFonts w:ascii="Arial" w:hAnsi="Arial" w:cs="Arial"/>
        </w:rPr>
        <w:t>Manager</w:t>
      </w:r>
      <w:r w:rsidRPr="005617DE">
        <w:rPr>
          <w:rFonts w:ascii="Arial" w:hAnsi="Arial" w:cs="Arial"/>
        </w:rPr>
        <w:t xml:space="preserve"> received regulatory approval to change </w:t>
      </w:r>
      <w:r w:rsidR="007063BE" w:rsidRPr="005617DE">
        <w:rPr>
          <w:rFonts w:ascii="Arial" w:hAnsi="Arial" w:cs="Arial"/>
        </w:rPr>
        <w:t>the</w:t>
      </w:r>
      <w:r w:rsidRPr="005617DE">
        <w:rPr>
          <w:rFonts w:ascii="Arial" w:hAnsi="Arial" w:cs="Arial"/>
        </w:rPr>
        <w:t xml:space="preserve"> distribution policy</w:t>
      </w:r>
      <w:r w:rsidR="007063BE" w:rsidRPr="005617DE">
        <w:rPr>
          <w:rFonts w:ascii="Arial" w:hAnsi="Arial" w:cs="Arial"/>
        </w:rPr>
        <w:t xml:space="preserve"> of the Security</w:t>
      </w:r>
      <w:r w:rsidRPr="005617DE">
        <w:rPr>
          <w:rFonts w:ascii="Arial" w:hAnsi="Arial" w:cs="Arial"/>
        </w:rPr>
        <w:t xml:space="preserve"> from </w:t>
      </w:r>
      <w:r w:rsidR="007063BE" w:rsidRPr="005617DE">
        <w:rPr>
          <w:rFonts w:ascii="Arial" w:hAnsi="Arial" w:cs="Arial"/>
        </w:rPr>
        <w:t xml:space="preserve">a </w:t>
      </w:r>
      <w:r w:rsidRPr="005617DE">
        <w:rPr>
          <w:rFonts w:ascii="Arial" w:hAnsi="Arial" w:cs="Arial"/>
        </w:rPr>
        <w:t>quarterly deemed distribution to an actual distribution of income.</w:t>
      </w:r>
    </w:p>
    <w:p w14:paraId="5F367CAA" w14:textId="48596870" w:rsidR="00310556" w:rsidRPr="005617DE" w:rsidRDefault="00310556" w:rsidP="00896947">
      <w:pPr>
        <w:pStyle w:val="HTMLPreformatted"/>
        <w:ind w:left="360"/>
        <w:jc w:val="both"/>
        <w:rPr>
          <w:rFonts w:ascii="Arial" w:hAnsi="Arial" w:cs="Arial"/>
        </w:rPr>
      </w:pPr>
    </w:p>
    <w:p w14:paraId="290872FF" w14:textId="5B63140F" w:rsidR="00310556" w:rsidRPr="005617DE" w:rsidRDefault="00310556" w:rsidP="00896947">
      <w:pPr>
        <w:pStyle w:val="HTMLPreformatted"/>
        <w:ind w:left="360"/>
        <w:jc w:val="both"/>
        <w:rPr>
          <w:rFonts w:ascii="Arial" w:hAnsi="Arial" w:cs="Arial"/>
        </w:rPr>
      </w:pPr>
      <w:r w:rsidRPr="005617DE">
        <w:rPr>
          <w:rFonts w:ascii="Arial" w:hAnsi="Arial" w:cs="Arial"/>
        </w:rPr>
        <w:t xml:space="preserve">The change to a distributing </w:t>
      </w:r>
      <w:r w:rsidR="007063BE" w:rsidRPr="005617DE">
        <w:rPr>
          <w:rFonts w:ascii="Arial" w:hAnsi="Arial" w:cs="Arial"/>
        </w:rPr>
        <w:t>Security</w:t>
      </w:r>
      <w:r w:rsidRPr="005617DE">
        <w:rPr>
          <w:rFonts w:ascii="Arial" w:hAnsi="Arial" w:cs="Arial"/>
        </w:rPr>
        <w:t xml:space="preserve"> will see the </w:t>
      </w:r>
      <w:r w:rsidR="007063BE" w:rsidRPr="005617DE">
        <w:rPr>
          <w:rFonts w:ascii="Arial" w:hAnsi="Arial" w:cs="Arial"/>
        </w:rPr>
        <w:t>Security</w:t>
      </w:r>
      <w:r w:rsidRPr="005617DE">
        <w:rPr>
          <w:rFonts w:ascii="Arial" w:hAnsi="Arial" w:cs="Arial"/>
        </w:rPr>
        <w:t xml:space="preserve"> hold income received into the portfolio in cash and distribute a net of cash amount at the end of every quarter. To this effect, the </w:t>
      </w:r>
      <w:r w:rsidR="007063BE" w:rsidRPr="005617DE">
        <w:rPr>
          <w:rFonts w:ascii="Arial" w:hAnsi="Arial" w:cs="Arial"/>
        </w:rPr>
        <w:t>Security</w:t>
      </w:r>
      <w:r w:rsidRPr="005617DE">
        <w:rPr>
          <w:rFonts w:ascii="Arial" w:hAnsi="Arial" w:cs="Arial"/>
        </w:rPr>
        <w:t xml:space="preserve"> will now track the Price Index of its benchmark, instead of the Total Return Index.</w:t>
      </w:r>
    </w:p>
    <w:p w14:paraId="609FD295" w14:textId="6E5E8F31" w:rsidR="00310556" w:rsidRPr="005617DE" w:rsidRDefault="00310556" w:rsidP="00896947">
      <w:pPr>
        <w:pStyle w:val="HTMLPreformatted"/>
        <w:ind w:left="360"/>
        <w:jc w:val="both"/>
        <w:rPr>
          <w:rFonts w:ascii="Arial" w:hAnsi="Arial" w:cs="Arial"/>
        </w:rPr>
      </w:pPr>
    </w:p>
    <w:p w14:paraId="3CA84EAD" w14:textId="4B00606E" w:rsidR="00310556" w:rsidRPr="005617DE" w:rsidRDefault="00310556" w:rsidP="00896947">
      <w:pPr>
        <w:pStyle w:val="HTMLPreformatted"/>
        <w:ind w:left="360"/>
        <w:jc w:val="both"/>
        <w:rPr>
          <w:rFonts w:ascii="Arial" w:hAnsi="Arial" w:cs="Arial"/>
        </w:rPr>
      </w:pPr>
      <w:r w:rsidRPr="005617DE">
        <w:rPr>
          <w:rFonts w:ascii="Arial" w:hAnsi="Arial" w:cs="Arial"/>
        </w:rPr>
        <w:t xml:space="preserve">This change from Total Return to Price Index has resulted in the price level of the </w:t>
      </w:r>
      <w:r w:rsidR="007063BE" w:rsidRPr="005617DE">
        <w:rPr>
          <w:rFonts w:ascii="Arial" w:hAnsi="Arial" w:cs="Arial"/>
        </w:rPr>
        <w:t>Security</w:t>
      </w:r>
      <w:r w:rsidRPr="005617DE">
        <w:rPr>
          <w:rFonts w:ascii="Arial" w:hAnsi="Arial" w:cs="Arial"/>
        </w:rPr>
        <w:t xml:space="preserve"> being significantly different to the price level of the Index. Although the difference in price levels, the </w:t>
      </w:r>
      <w:r w:rsidR="007063BE" w:rsidRPr="005617DE">
        <w:rPr>
          <w:rFonts w:ascii="Arial" w:hAnsi="Arial" w:cs="Arial"/>
        </w:rPr>
        <w:t>Security</w:t>
      </w:r>
      <w:r w:rsidRPr="005617DE">
        <w:rPr>
          <w:rFonts w:ascii="Arial" w:hAnsi="Arial" w:cs="Arial"/>
        </w:rPr>
        <w:t xml:space="preserve"> is performing in line with the index</w:t>
      </w:r>
      <w:r w:rsidR="006A1EDA" w:rsidRPr="005617DE">
        <w:rPr>
          <w:rFonts w:ascii="Arial" w:hAnsi="Arial" w:cs="Arial"/>
        </w:rPr>
        <w:t>,</w:t>
      </w:r>
      <w:r w:rsidRPr="005617DE">
        <w:rPr>
          <w:rFonts w:ascii="Arial" w:hAnsi="Arial" w:cs="Arial"/>
        </w:rPr>
        <w:t xml:space="preserve"> however the price levels difference creates a perception that the </w:t>
      </w:r>
      <w:r w:rsidR="007063BE" w:rsidRPr="005617DE">
        <w:rPr>
          <w:rFonts w:ascii="Arial" w:hAnsi="Arial" w:cs="Arial"/>
        </w:rPr>
        <w:t>Security</w:t>
      </w:r>
      <w:r w:rsidRPr="005617DE">
        <w:rPr>
          <w:rFonts w:ascii="Arial" w:hAnsi="Arial" w:cs="Arial"/>
        </w:rPr>
        <w:t xml:space="preserve"> is not performing in line with its benchmark.</w:t>
      </w:r>
    </w:p>
    <w:p w14:paraId="67CBBF9D" w14:textId="77777777" w:rsidR="00310556" w:rsidRPr="005617DE" w:rsidRDefault="00310556" w:rsidP="00896947">
      <w:pPr>
        <w:pStyle w:val="HTMLPreformatted"/>
        <w:ind w:left="360"/>
        <w:jc w:val="both"/>
        <w:rPr>
          <w:rFonts w:ascii="Arial" w:hAnsi="Arial" w:cs="Arial"/>
        </w:rPr>
      </w:pPr>
    </w:p>
    <w:p w14:paraId="0FDE49EB" w14:textId="40668F53" w:rsidR="00310556" w:rsidRPr="005617DE" w:rsidRDefault="00310556" w:rsidP="00896947">
      <w:pPr>
        <w:pStyle w:val="HTMLPreformatted"/>
        <w:ind w:left="360"/>
        <w:jc w:val="both"/>
        <w:rPr>
          <w:rFonts w:ascii="Arial" w:hAnsi="Arial" w:cs="Arial"/>
        </w:rPr>
      </w:pPr>
      <w:r w:rsidRPr="005617DE">
        <w:rPr>
          <w:rFonts w:ascii="Arial" w:hAnsi="Arial" w:cs="Arial"/>
        </w:rPr>
        <w:t>To this effect</w:t>
      </w:r>
      <w:r w:rsidR="007063BE" w:rsidRPr="005617DE">
        <w:rPr>
          <w:rFonts w:ascii="Arial" w:hAnsi="Arial" w:cs="Arial"/>
        </w:rPr>
        <w:t>,</w:t>
      </w:r>
      <w:r w:rsidRPr="005617DE">
        <w:rPr>
          <w:rFonts w:ascii="Arial" w:hAnsi="Arial" w:cs="Arial"/>
        </w:rPr>
        <w:t xml:space="preserve"> the Manager will conduct a unit consolidation by reducing the number of units that an investor holds and increasing the value of each unit accordingly of the </w:t>
      </w:r>
      <w:r w:rsidR="007063BE" w:rsidRPr="005617DE">
        <w:rPr>
          <w:rFonts w:ascii="Arial" w:hAnsi="Arial" w:cs="Arial"/>
        </w:rPr>
        <w:t>Security</w:t>
      </w:r>
      <w:r w:rsidRPr="005617DE">
        <w:rPr>
          <w:rFonts w:ascii="Arial" w:hAnsi="Arial" w:cs="Arial"/>
        </w:rPr>
        <w:t xml:space="preserve"> </w:t>
      </w:r>
      <w:r w:rsidR="007063BE" w:rsidRPr="005617DE">
        <w:rPr>
          <w:rFonts w:ascii="Arial" w:hAnsi="Arial" w:cs="Arial"/>
        </w:rPr>
        <w:t>which will</w:t>
      </w:r>
      <w:r w:rsidRPr="005617DE">
        <w:rPr>
          <w:rFonts w:ascii="Arial" w:hAnsi="Arial" w:cs="Arial"/>
        </w:rPr>
        <w:t xml:space="preserve"> align to the S&amp;P</w:t>
      </w:r>
      <w:r w:rsidR="007063BE" w:rsidRPr="005617DE">
        <w:rPr>
          <w:rFonts w:ascii="Arial" w:hAnsi="Arial" w:cs="Arial"/>
        </w:rPr>
        <w:t xml:space="preserve"> </w:t>
      </w:r>
      <w:r w:rsidRPr="005617DE">
        <w:rPr>
          <w:rFonts w:ascii="Arial" w:hAnsi="Arial" w:cs="Arial"/>
        </w:rPr>
        <w:t>South Africa Sovereign Bond 1+ Year Index Price Return</w:t>
      </w:r>
      <w:r w:rsidR="007063BE" w:rsidRPr="005617DE">
        <w:rPr>
          <w:rFonts w:ascii="Arial" w:hAnsi="Arial" w:cs="Arial"/>
        </w:rPr>
        <w:t xml:space="preserve"> index level</w:t>
      </w:r>
      <w:r w:rsidRPr="005617DE">
        <w:rPr>
          <w:rFonts w:ascii="Arial" w:hAnsi="Arial" w:cs="Arial"/>
        </w:rPr>
        <w:t xml:space="preserve">. </w:t>
      </w:r>
    </w:p>
    <w:p w14:paraId="2759F912" w14:textId="51B7B66D" w:rsidR="00896947" w:rsidRPr="005617DE" w:rsidRDefault="00896947" w:rsidP="00896947">
      <w:pPr>
        <w:pStyle w:val="HTMLPreformatted"/>
        <w:ind w:left="360"/>
        <w:jc w:val="both"/>
        <w:rPr>
          <w:rFonts w:ascii="Arial" w:hAnsi="Arial" w:cs="Arial"/>
        </w:rPr>
      </w:pPr>
      <w:r w:rsidRPr="005617DE">
        <w:rPr>
          <w:rFonts w:ascii="Arial" w:hAnsi="Arial" w:cs="Arial"/>
        </w:rPr>
        <w:t xml:space="preserve"> </w:t>
      </w:r>
    </w:p>
    <w:p w14:paraId="41B4FB3C" w14:textId="77777777" w:rsidR="00896947" w:rsidRPr="005617DE" w:rsidRDefault="00896947" w:rsidP="00896947">
      <w:pPr>
        <w:pStyle w:val="HTMLPreformatted"/>
        <w:jc w:val="both"/>
        <w:rPr>
          <w:rFonts w:ascii="Arial" w:hAnsi="Arial" w:cs="Arial"/>
        </w:rPr>
      </w:pPr>
    </w:p>
    <w:p w14:paraId="57170284" w14:textId="77777777" w:rsidR="00896947" w:rsidRPr="005617DE" w:rsidRDefault="00896947" w:rsidP="00896947">
      <w:pPr>
        <w:pStyle w:val="HTMLPreformatted"/>
        <w:ind w:left="360"/>
        <w:jc w:val="both"/>
        <w:rPr>
          <w:rFonts w:ascii="Arial" w:hAnsi="Arial" w:cs="Arial"/>
        </w:rPr>
      </w:pPr>
    </w:p>
    <w:p w14:paraId="28C85400" w14:textId="5C004E83" w:rsidR="00896947" w:rsidRPr="005617DE" w:rsidRDefault="00896947" w:rsidP="00896947">
      <w:pPr>
        <w:pStyle w:val="HTMLPreformatted"/>
        <w:numPr>
          <w:ilvl w:val="0"/>
          <w:numId w:val="1"/>
        </w:numPr>
        <w:ind w:left="360"/>
        <w:jc w:val="both"/>
        <w:rPr>
          <w:rFonts w:ascii="Arial" w:hAnsi="Arial" w:cs="Arial"/>
          <w:b/>
        </w:rPr>
      </w:pPr>
      <w:r w:rsidRPr="005617DE">
        <w:rPr>
          <w:rFonts w:ascii="Arial" w:hAnsi="Arial" w:cs="Arial"/>
          <w:b/>
        </w:rPr>
        <w:t>Implication</w:t>
      </w:r>
      <w:r w:rsidR="00525633" w:rsidRPr="005617DE">
        <w:rPr>
          <w:rFonts w:ascii="Arial" w:hAnsi="Arial" w:cs="Arial"/>
          <w:b/>
        </w:rPr>
        <w:t>s for the Consolidation</w:t>
      </w:r>
    </w:p>
    <w:p w14:paraId="24B663A6" w14:textId="77777777" w:rsidR="00CB5903" w:rsidRPr="005617DE" w:rsidRDefault="00CB5903" w:rsidP="00CB5903">
      <w:pPr>
        <w:pStyle w:val="HTMLPreformatted"/>
        <w:ind w:left="360"/>
        <w:jc w:val="both"/>
        <w:rPr>
          <w:rFonts w:ascii="Arial" w:hAnsi="Arial" w:cs="Arial"/>
          <w:b/>
        </w:rPr>
      </w:pPr>
    </w:p>
    <w:p w14:paraId="7F0D6F64" w14:textId="5D1977EA" w:rsidR="004145E7" w:rsidRPr="005617DE" w:rsidRDefault="00CB5903" w:rsidP="00CB5903">
      <w:pPr>
        <w:pStyle w:val="HTMLPreformatted"/>
        <w:ind w:left="360"/>
        <w:jc w:val="both"/>
        <w:rPr>
          <w:rFonts w:ascii="Arial" w:hAnsi="Arial" w:cs="Arial"/>
        </w:rPr>
      </w:pPr>
      <w:r w:rsidRPr="005617DE">
        <w:rPr>
          <w:rFonts w:ascii="Arial" w:hAnsi="Arial" w:cs="Arial"/>
        </w:rPr>
        <w:t>The Security previously tracked, is the S&amp;P South Africa Sovereign Bond 1+ Year Index Total Return, which trade</w:t>
      </w:r>
      <w:r w:rsidR="00C25ECB" w:rsidRPr="005617DE">
        <w:rPr>
          <w:rFonts w:ascii="Arial" w:hAnsi="Arial" w:cs="Arial"/>
        </w:rPr>
        <w:t>s</w:t>
      </w:r>
      <w:r w:rsidRPr="005617DE">
        <w:rPr>
          <w:rFonts w:ascii="Arial" w:hAnsi="Arial" w:cs="Arial"/>
        </w:rPr>
        <w:t xml:space="preserve"> at a level of ~8</w:t>
      </w:r>
      <w:r w:rsidR="004147F0" w:rsidRPr="005617DE">
        <w:rPr>
          <w:rFonts w:ascii="Arial" w:hAnsi="Arial" w:cs="Arial"/>
        </w:rPr>
        <w:t>22</w:t>
      </w:r>
      <w:r w:rsidRPr="005617DE">
        <w:rPr>
          <w:rFonts w:ascii="Arial" w:hAnsi="Arial" w:cs="Arial"/>
        </w:rPr>
        <w:t xml:space="preserve">. The </w:t>
      </w:r>
      <w:r w:rsidR="004147F0" w:rsidRPr="005617DE">
        <w:rPr>
          <w:rFonts w:ascii="Arial" w:hAnsi="Arial" w:cs="Arial"/>
        </w:rPr>
        <w:t>Security</w:t>
      </w:r>
      <w:r w:rsidRPr="005617DE">
        <w:rPr>
          <w:rFonts w:ascii="Arial" w:hAnsi="Arial" w:cs="Arial"/>
        </w:rPr>
        <w:t xml:space="preserve"> trade</w:t>
      </w:r>
      <w:r w:rsidR="004147F0" w:rsidRPr="005617DE">
        <w:rPr>
          <w:rFonts w:ascii="Arial" w:hAnsi="Arial" w:cs="Arial"/>
        </w:rPr>
        <w:t>s</w:t>
      </w:r>
      <w:r w:rsidRPr="005617DE">
        <w:rPr>
          <w:rFonts w:ascii="Arial" w:hAnsi="Arial" w:cs="Arial"/>
        </w:rPr>
        <w:t xml:space="preserve"> at 1/10th the index, therefore implying a price per unit of R8</w:t>
      </w:r>
      <w:r w:rsidR="006E59B1" w:rsidRPr="005617DE">
        <w:rPr>
          <w:rFonts w:ascii="Arial" w:hAnsi="Arial" w:cs="Arial"/>
        </w:rPr>
        <w:t>2</w:t>
      </w:r>
      <w:r w:rsidRPr="005617DE">
        <w:rPr>
          <w:rFonts w:ascii="Arial" w:hAnsi="Arial" w:cs="Arial"/>
        </w:rPr>
        <w:t>.</w:t>
      </w:r>
      <w:r w:rsidR="00804BB3" w:rsidRPr="005617DE">
        <w:rPr>
          <w:rFonts w:ascii="Arial" w:hAnsi="Arial" w:cs="Arial"/>
        </w:rPr>
        <w:t xml:space="preserve"> The new benchmark being the S&amp;P South Africa Sovereign Bond 1+ Year Index Price Return, trades at a level of ~</w:t>
      </w:r>
      <w:r w:rsidR="004145E7" w:rsidRPr="005617DE">
        <w:rPr>
          <w:rFonts w:ascii="Arial" w:hAnsi="Arial" w:cs="Arial"/>
        </w:rPr>
        <w:t>97</w:t>
      </w:r>
      <w:r w:rsidR="00804BB3" w:rsidRPr="005617DE">
        <w:rPr>
          <w:rFonts w:ascii="Arial" w:hAnsi="Arial" w:cs="Arial"/>
        </w:rPr>
        <w:t>. At a direct reflection of a 1:1 ratio with index, the implied unit price of the Fund will be R</w:t>
      </w:r>
      <w:r w:rsidR="004145E7" w:rsidRPr="005617DE">
        <w:rPr>
          <w:rFonts w:ascii="Arial" w:hAnsi="Arial" w:cs="Arial"/>
        </w:rPr>
        <w:t>97</w:t>
      </w:r>
      <w:r w:rsidR="00804BB3" w:rsidRPr="005617DE">
        <w:rPr>
          <w:rFonts w:ascii="Arial" w:hAnsi="Arial" w:cs="Arial"/>
        </w:rPr>
        <w:t xml:space="preserve">. </w:t>
      </w:r>
    </w:p>
    <w:p w14:paraId="665D84C1" w14:textId="119939A3" w:rsidR="00CB5903" w:rsidRDefault="00804BB3" w:rsidP="00CB5903">
      <w:pPr>
        <w:pStyle w:val="HTMLPreformatted"/>
        <w:ind w:left="360"/>
        <w:jc w:val="both"/>
        <w:rPr>
          <w:rFonts w:ascii="Arial" w:hAnsi="Arial" w:cs="Arial"/>
        </w:rPr>
      </w:pPr>
      <w:proofErr w:type="gramStart"/>
      <w:r w:rsidRPr="005617DE">
        <w:rPr>
          <w:rFonts w:ascii="Arial" w:hAnsi="Arial" w:cs="Arial"/>
        </w:rPr>
        <w:t xml:space="preserve">The total value of Security </w:t>
      </w:r>
      <w:r w:rsidR="009D3A7B" w:rsidRPr="005617DE">
        <w:rPr>
          <w:rFonts w:ascii="Arial" w:hAnsi="Arial" w:cs="Arial"/>
        </w:rPr>
        <w:t>holders’</w:t>
      </w:r>
      <w:r w:rsidRPr="005617DE">
        <w:rPr>
          <w:rFonts w:ascii="Arial" w:hAnsi="Arial" w:cs="Arial"/>
        </w:rPr>
        <w:t xml:space="preserve"> investment,</w:t>
      </w:r>
      <w:proofErr w:type="gramEnd"/>
      <w:r w:rsidRPr="005617DE">
        <w:rPr>
          <w:rFonts w:ascii="Arial" w:hAnsi="Arial" w:cs="Arial"/>
        </w:rPr>
        <w:t xml:space="preserve"> will remain unchanged.</w:t>
      </w:r>
    </w:p>
    <w:p w14:paraId="3E44D2FE" w14:textId="715F3DA0" w:rsidR="00ED13B4" w:rsidRDefault="00ED13B4" w:rsidP="00CB5903">
      <w:pPr>
        <w:pStyle w:val="HTMLPreformatted"/>
        <w:ind w:left="360"/>
        <w:jc w:val="both"/>
        <w:rPr>
          <w:rFonts w:ascii="Arial" w:hAnsi="Arial" w:cs="Arial"/>
        </w:rPr>
      </w:pPr>
    </w:p>
    <w:p w14:paraId="6DCC1DC8" w14:textId="77777777" w:rsidR="00ED13B4" w:rsidRPr="005617DE" w:rsidRDefault="00ED13B4" w:rsidP="00CB5903">
      <w:pPr>
        <w:pStyle w:val="HTMLPreformatted"/>
        <w:ind w:left="360"/>
        <w:jc w:val="both"/>
        <w:rPr>
          <w:rFonts w:ascii="Arial" w:hAnsi="Arial" w:cs="Arial"/>
        </w:rPr>
      </w:pPr>
    </w:p>
    <w:p w14:paraId="284B59DF" w14:textId="77777777" w:rsidR="00896947" w:rsidRPr="005617DE" w:rsidRDefault="00896947" w:rsidP="00896947">
      <w:pPr>
        <w:pStyle w:val="HTMLPreformatted"/>
        <w:ind w:left="360"/>
        <w:jc w:val="both"/>
        <w:rPr>
          <w:rFonts w:ascii="Arial" w:hAnsi="Arial" w:cs="Arial"/>
          <w:b/>
        </w:rPr>
      </w:pPr>
    </w:p>
    <w:tbl>
      <w:tblPr>
        <w:tblStyle w:val="TableGrid"/>
        <w:tblW w:w="0" w:type="auto"/>
        <w:tblLook w:val="04A0" w:firstRow="1" w:lastRow="0" w:firstColumn="1" w:lastColumn="0" w:noHBand="0" w:noVBand="1"/>
      </w:tblPr>
      <w:tblGrid>
        <w:gridCol w:w="5413"/>
        <w:gridCol w:w="3603"/>
      </w:tblGrid>
      <w:tr w:rsidR="005B6630" w:rsidRPr="005617DE" w14:paraId="24C0454D" w14:textId="77777777" w:rsidTr="005B6630">
        <w:trPr>
          <w:trHeight w:val="300"/>
        </w:trPr>
        <w:tc>
          <w:tcPr>
            <w:tcW w:w="6420" w:type="dxa"/>
            <w:noWrap/>
            <w:hideMark/>
          </w:tcPr>
          <w:p w14:paraId="52F30839" w14:textId="77777777" w:rsidR="005B6630" w:rsidRPr="005617DE" w:rsidRDefault="005B6630" w:rsidP="005B6630">
            <w:pPr>
              <w:pStyle w:val="HTMLPreformatted"/>
              <w:ind w:left="360"/>
              <w:jc w:val="both"/>
              <w:rPr>
                <w:rFonts w:ascii="Arial" w:hAnsi="Arial" w:cs="Arial"/>
                <w:b/>
                <w:bCs/>
                <w:lang w:val="en-ZA"/>
              </w:rPr>
            </w:pPr>
            <w:r w:rsidRPr="005617DE">
              <w:rPr>
                <w:rFonts w:ascii="Arial" w:hAnsi="Arial" w:cs="Arial"/>
                <w:b/>
                <w:bCs/>
                <w:lang w:val="en-ZA"/>
              </w:rPr>
              <w:t>Item</w:t>
            </w:r>
          </w:p>
        </w:tc>
        <w:tc>
          <w:tcPr>
            <w:tcW w:w="4260" w:type="dxa"/>
            <w:noWrap/>
            <w:hideMark/>
          </w:tcPr>
          <w:p w14:paraId="508F4E6B" w14:textId="77777777" w:rsidR="005B6630" w:rsidRPr="005617DE" w:rsidRDefault="005B6630" w:rsidP="005B6630">
            <w:pPr>
              <w:pStyle w:val="HTMLPreformatted"/>
              <w:ind w:left="360"/>
              <w:jc w:val="both"/>
              <w:rPr>
                <w:rFonts w:ascii="Arial" w:hAnsi="Arial" w:cs="Arial"/>
                <w:b/>
                <w:bCs/>
                <w:lang w:val="en-ZA"/>
              </w:rPr>
            </w:pPr>
            <w:r w:rsidRPr="005617DE">
              <w:rPr>
                <w:rFonts w:ascii="Arial" w:hAnsi="Arial" w:cs="Arial"/>
                <w:b/>
                <w:bCs/>
                <w:lang w:val="en-ZA"/>
              </w:rPr>
              <w:t>Detail</w:t>
            </w:r>
          </w:p>
        </w:tc>
      </w:tr>
      <w:tr w:rsidR="005B6630" w:rsidRPr="005617DE" w14:paraId="2A53294C" w14:textId="77777777" w:rsidTr="005B6630">
        <w:trPr>
          <w:trHeight w:val="1260"/>
        </w:trPr>
        <w:tc>
          <w:tcPr>
            <w:tcW w:w="6420" w:type="dxa"/>
            <w:noWrap/>
            <w:hideMark/>
          </w:tcPr>
          <w:p w14:paraId="7F2F5A0F" w14:textId="77777777" w:rsidR="005B6630" w:rsidRPr="005617DE" w:rsidRDefault="005B6630" w:rsidP="005B6630">
            <w:pPr>
              <w:pStyle w:val="HTMLPreformatted"/>
              <w:ind w:left="360"/>
              <w:jc w:val="both"/>
              <w:rPr>
                <w:rFonts w:ascii="Arial" w:hAnsi="Arial" w:cs="Arial"/>
                <w:lang w:val="en-ZA"/>
              </w:rPr>
            </w:pPr>
            <w:r w:rsidRPr="005617DE">
              <w:rPr>
                <w:rFonts w:ascii="Arial" w:hAnsi="Arial" w:cs="Arial"/>
                <w:lang w:val="en-ZA"/>
              </w:rPr>
              <w:t>1. Will investors investment be impacted?</w:t>
            </w:r>
          </w:p>
        </w:tc>
        <w:tc>
          <w:tcPr>
            <w:tcW w:w="4260" w:type="dxa"/>
            <w:hideMark/>
          </w:tcPr>
          <w:p w14:paraId="569EEF67" w14:textId="4A9D859F" w:rsidR="005B6630" w:rsidRPr="005617DE" w:rsidRDefault="005B6630" w:rsidP="005B6630">
            <w:pPr>
              <w:pStyle w:val="HTMLPreformatted"/>
              <w:ind w:left="360"/>
              <w:jc w:val="both"/>
              <w:rPr>
                <w:rFonts w:ascii="Arial" w:hAnsi="Arial" w:cs="Arial"/>
                <w:lang w:val="en-ZA"/>
              </w:rPr>
            </w:pPr>
            <w:r w:rsidRPr="005617DE">
              <w:rPr>
                <w:rFonts w:ascii="Arial" w:hAnsi="Arial" w:cs="Arial"/>
                <w:lang w:val="en-ZA"/>
              </w:rPr>
              <w:t>1. There will be no impact as units will be reduced while increasing the price of the security</w:t>
            </w:r>
            <w:r w:rsidR="002C577F" w:rsidRPr="005617DE">
              <w:rPr>
                <w:rFonts w:ascii="Arial" w:hAnsi="Arial" w:cs="Arial"/>
                <w:lang w:val="en-ZA"/>
              </w:rPr>
              <w:t>,</w:t>
            </w:r>
            <w:r w:rsidRPr="005617DE">
              <w:rPr>
                <w:rFonts w:ascii="Arial" w:hAnsi="Arial" w:cs="Arial"/>
                <w:lang w:val="en-ZA"/>
              </w:rPr>
              <w:t xml:space="preserve"> however the value of investments will remain the same.</w:t>
            </w:r>
          </w:p>
        </w:tc>
      </w:tr>
      <w:tr w:rsidR="005B6630" w:rsidRPr="005617DE" w14:paraId="3824DC2C" w14:textId="77777777" w:rsidTr="005B6630">
        <w:trPr>
          <w:trHeight w:val="1200"/>
        </w:trPr>
        <w:tc>
          <w:tcPr>
            <w:tcW w:w="6420" w:type="dxa"/>
            <w:noWrap/>
            <w:hideMark/>
          </w:tcPr>
          <w:p w14:paraId="53640B25" w14:textId="77777777" w:rsidR="005B6630" w:rsidRPr="005617DE" w:rsidRDefault="005B6630" w:rsidP="005B6630">
            <w:pPr>
              <w:pStyle w:val="HTMLPreformatted"/>
              <w:ind w:left="360"/>
              <w:jc w:val="both"/>
              <w:rPr>
                <w:rFonts w:ascii="Arial" w:hAnsi="Arial" w:cs="Arial"/>
                <w:lang w:val="en-ZA"/>
              </w:rPr>
            </w:pPr>
            <w:r w:rsidRPr="005617DE">
              <w:rPr>
                <w:rFonts w:ascii="Arial" w:hAnsi="Arial" w:cs="Arial"/>
                <w:lang w:val="en-ZA"/>
              </w:rPr>
              <w:t>2. Will investors be able to compare to independent pricing sources?</w:t>
            </w:r>
          </w:p>
        </w:tc>
        <w:tc>
          <w:tcPr>
            <w:tcW w:w="4260" w:type="dxa"/>
            <w:hideMark/>
          </w:tcPr>
          <w:p w14:paraId="400C6FAB" w14:textId="77777777" w:rsidR="005B6630" w:rsidRPr="005617DE" w:rsidRDefault="005B6630" w:rsidP="005B6630">
            <w:pPr>
              <w:pStyle w:val="HTMLPreformatted"/>
              <w:ind w:left="360"/>
              <w:jc w:val="both"/>
              <w:rPr>
                <w:rFonts w:ascii="Arial" w:hAnsi="Arial" w:cs="Arial"/>
                <w:lang w:val="en-ZA"/>
              </w:rPr>
            </w:pPr>
            <w:r w:rsidRPr="005617DE">
              <w:rPr>
                <w:rFonts w:ascii="Arial" w:hAnsi="Arial" w:cs="Arial"/>
                <w:lang w:val="en-ZA"/>
              </w:rPr>
              <w:t>2. Yes, the change management will include informing pricing/performance vendors to ensure changes are implemented effectively.</w:t>
            </w:r>
          </w:p>
        </w:tc>
      </w:tr>
      <w:tr w:rsidR="005B6630" w:rsidRPr="005617DE" w14:paraId="434B0591" w14:textId="77777777" w:rsidTr="005B6630">
        <w:trPr>
          <w:trHeight w:val="2700"/>
        </w:trPr>
        <w:tc>
          <w:tcPr>
            <w:tcW w:w="6420" w:type="dxa"/>
            <w:noWrap/>
            <w:hideMark/>
          </w:tcPr>
          <w:p w14:paraId="791F50C8" w14:textId="77777777" w:rsidR="005B6630" w:rsidRPr="005617DE" w:rsidRDefault="005B6630" w:rsidP="005B6630">
            <w:pPr>
              <w:pStyle w:val="HTMLPreformatted"/>
              <w:ind w:left="360"/>
              <w:jc w:val="both"/>
              <w:rPr>
                <w:rFonts w:ascii="Arial" w:hAnsi="Arial" w:cs="Arial"/>
                <w:lang w:val="en-ZA"/>
              </w:rPr>
            </w:pPr>
            <w:r w:rsidRPr="005617DE">
              <w:rPr>
                <w:rFonts w:ascii="Arial" w:hAnsi="Arial" w:cs="Arial"/>
                <w:lang w:val="en-ZA"/>
              </w:rPr>
              <w:t>3. Will there be an impact on TCF Outcomes</w:t>
            </w:r>
          </w:p>
        </w:tc>
        <w:tc>
          <w:tcPr>
            <w:tcW w:w="4260" w:type="dxa"/>
            <w:hideMark/>
          </w:tcPr>
          <w:p w14:paraId="416B0FD4" w14:textId="33E88ECC" w:rsidR="005B6630" w:rsidRPr="005617DE" w:rsidRDefault="005B6630" w:rsidP="005B6630">
            <w:pPr>
              <w:pStyle w:val="HTMLPreformatted"/>
              <w:ind w:left="360"/>
              <w:jc w:val="both"/>
              <w:rPr>
                <w:rFonts w:ascii="Arial" w:hAnsi="Arial" w:cs="Arial"/>
                <w:lang w:val="en-ZA"/>
              </w:rPr>
            </w:pPr>
            <w:r w:rsidRPr="005617DE">
              <w:rPr>
                <w:rFonts w:ascii="Arial" w:hAnsi="Arial" w:cs="Arial"/>
                <w:lang w:val="en-ZA"/>
              </w:rPr>
              <w:t>3. There will be no impact on 1nvest adherence to TCF Outcomes</w:t>
            </w:r>
            <w:r w:rsidR="00314188" w:rsidRPr="005617DE">
              <w:rPr>
                <w:rFonts w:ascii="Arial" w:hAnsi="Arial" w:cs="Arial"/>
                <w:lang w:val="en-ZA"/>
              </w:rPr>
              <w:t>,</w:t>
            </w:r>
            <w:r w:rsidRPr="005617DE">
              <w:rPr>
                <w:rFonts w:ascii="Arial" w:hAnsi="Arial" w:cs="Arial"/>
                <w:lang w:val="en-ZA"/>
              </w:rPr>
              <w:t xml:space="preserve"> however with the alignment between the Fund and the Index, there will be an enhancement in terms of TCF Outcome 5 </w:t>
            </w:r>
            <w:proofErr w:type="gramStart"/>
            <w:r w:rsidRPr="005617DE">
              <w:rPr>
                <w:rFonts w:ascii="Arial" w:hAnsi="Arial" w:cs="Arial"/>
                <w:lang w:val="en-ZA"/>
              </w:rPr>
              <w:t>–“</w:t>
            </w:r>
            <w:proofErr w:type="gramEnd"/>
            <w:r w:rsidRPr="005617DE">
              <w:rPr>
                <w:rFonts w:ascii="Arial" w:hAnsi="Arial" w:cs="Arial"/>
                <w:lang w:val="en-ZA"/>
              </w:rPr>
              <w:t>Clients are provided with products that perform as they have been led to expect, and the associated service is both of an acceptable standard and as per expectations set.”</w:t>
            </w:r>
          </w:p>
        </w:tc>
      </w:tr>
    </w:tbl>
    <w:p w14:paraId="47B0D5BE" w14:textId="77777777" w:rsidR="00896947" w:rsidRPr="005617DE" w:rsidRDefault="00896947" w:rsidP="00896947">
      <w:pPr>
        <w:pStyle w:val="HTMLPreformatted"/>
        <w:ind w:left="360"/>
        <w:jc w:val="both"/>
        <w:rPr>
          <w:rFonts w:ascii="Arial" w:hAnsi="Arial" w:cs="Arial"/>
        </w:rPr>
      </w:pPr>
    </w:p>
    <w:p w14:paraId="6604BEE0" w14:textId="2AEBBFCC" w:rsidR="00896947" w:rsidRPr="005617DE" w:rsidRDefault="00896947" w:rsidP="00896947">
      <w:pPr>
        <w:pStyle w:val="HTMLPreformatted"/>
        <w:ind w:left="360"/>
        <w:jc w:val="both"/>
        <w:rPr>
          <w:rFonts w:ascii="Arial" w:hAnsi="Arial" w:cs="Arial"/>
        </w:rPr>
      </w:pPr>
      <w:r w:rsidRPr="005617DE">
        <w:rPr>
          <w:rFonts w:ascii="Arial" w:hAnsi="Arial" w:cs="Arial"/>
        </w:rPr>
        <w:t>The Consolidation will bring the NAV of each unit in line with the underlying index that it represents.</w:t>
      </w:r>
    </w:p>
    <w:p w14:paraId="5F1B83F2" w14:textId="77777777" w:rsidR="00896947" w:rsidRPr="005617DE" w:rsidRDefault="00896947" w:rsidP="00896947">
      <w:pPr>
        <w:pStyle w:val="HTMLPreformatted"/>
        <w:jc w:val="both"/>
        <w:rPr>
          <w:rFonts w:ascii="Arial" w:hAnsi="Arial" w:cs="Arial"/>
        </w:rPr>
      </w:pPr>
    </w:p>
    <w:p w14:paraId="3DA1BC52" w14:textId="77777777" w:rsidR="00896947" w:rsidRPr="005617DE" w:rsidRDefault="00896947" w:rsidP="00896947">
      <w:pPr>
        <w:pStyle w:val="HTMLPreformatted"/>
        <w:numPr>
          <w:ilvl w:val="0"/>
          <w:numId w:val="1"/>
        </w:numPr>
        <w:ind w:left="360"/>
        <w:jc w:val="both"/>
        <w:rPr>
          <w:rFonts w:ascii="Arial" w:hAnsi="Arial" w:cs="Arial"/>
          <w:b/>
        </w:rPr>
      </w:pPr>
      <w:r w:rsidRPr="005617DE">
        <w:rPr>
          <w:rFonts w:ascii="Arial" w:hAnsi="Arial" w:cs="Arial"/>
          <w:b/>
        </w:rPr>
        <w:t xml:space="preserve">Details of the Consolidations </w:t>
      </w:r>
    </w:p>
    <w:p w14:paraId="00C274BA" w14:textId="77777777" w:rsidR="00896947" w:rsidRPr="005617DE" w:rsidRDefault="00896947" w:rsidP="00896947">
      <w:pPr>
        <w:pStyle w:val="HTMLPreformatted"/>
        <w:jc w:val="both"/>
        <w:rPr>
          <w:rFonts w:ascii="Arial" w:hAnsi="Arial" w:cs="Arial"/>
        </w:rPr>
      </w:pPr>
    </w:p>
    <w:p w14:paraId="3F04BC5E" w14:textId="05BC7D3A" w:rsidR="00896947" w:rsidRPr="005617DE" w:rsidRDefault="009D3A7B" w:rsidP="00896947">
      <w:pPr>
        <w:pStyle w:val="HTMLPreformatted"/>
        <w:ind w:left="360"/>
        <w:jc w:val="both"/>
        <w:rPr>
          <w:rFonts w:ascii="Arial" w:hAnsi="Arial" w:cs="Arial"/>
        </w:rPr>
      </w:pPr>
      <w:r w:rsidRPr="005617DE">
        <w:rPr>
          <w:rFonts w:ascii="Arial" w:hAnsi="Arial" w:cs="Arial"/>
        </w:rPr>
        <w:t xml:space="preserve">ETFSBOND </w:t>
      </w:r>
      <w:r w:rsidR="00896947" w:rsidRPr="005617DE">
        <w:rPr>
          <w:rFonts w:ascii="Arial" w:hAnsi="Arial" w:cs="Arial"/>
        </w:rPr>
        <w:t>currently ha</w:t>
      </w:r>
      <w:r w:rsidRPr="005617DE">
        <w:rPr>
          <w:rFonts w:ascii="Arial" w:hAnsi="Arial" w:cs="Arial"/>
        </w:rPr>
        <w:t>s</w:t>
      </w:r>
      <w:r w:rsidR="00896947" w:rsidRPr="005617DE">
        <w:rPr>
          <w:rFonts w:ascii="Arial" w:hAnsi="Arial" w:cs="Arial"/>
        </w:rPr>
        <w:t xml:space="preserve"> </w:t>
      </w:r>
      <w:r w:rsidR="00B3774F" w:rsidRPr="005617DE">
        <w:rPr>
          <w:rFonts w:ascii="Arial" w:hAnsi="Arial" w:cs="Arial"/>
        </w:rPr>
        <w:t>1,</w:t>
      </w:r>
      <w:r w:rsidR="00992A65" w:rsidRPr="005617DE">
        <w:rPr>
          <w:rFonts w:ascii="Arial" w:hAnsi="Arial" w:cs="Arial"/>
        </w:rPr>
        <w:t>6</w:t>
      </w:r>
      <w:r w:rsidR="00CA34B8" w:rsidRPr="005617DE">
        <w:rPr>
          <w:rFonts w:ascii="Arial" w:hAnsi="Arial" w:cs="Arial"/>
        </w:rPr>
        <w:t>00</w:t>
      </w:r>
      <w:r w:rsidR="00896947" w:rsidRPr="005617DE">
        <w:rPr>
          <w:rFonts w:ascii="Arial" w:hAnsi="Arial" w:cs="Arial"/>
        </w:rPr>
        <w:t>,</w:t>
      </w:r>
      <w:r w:rsidR="00CA34B8" w:rsidRPr="005617DE">
        <w:rPr>
          <w:rFonts w:ascii="Arial" w:hAnsi="Arial" w:cs="Arial"/>
        </w:rPr>
        <w:t>0</w:t>
      </w:r>
      <w:r w:rsidR="00896947" w:rsidRPr="005617DE">
        <w:rPr>
          <w:rFonts w:ascii="Arial" w:hAnsi="Arial" w:cs="Arial"/>
        </w:rPr>
        <w:t>0</w:t>
      </w:r>
      <w:r w:rsidR="00CA34B8" w:rsidRPr="005617DE">
        <w:rPr>
          <w:rFonts w:ascii="Arial" w:hAnsi="Arial" w:cs="Arial"/>
        </w:rPr>
        <w:t>0</w:t>
      </w:r>
      <w:r w:rsidR="00896947" w:rsidRPr="005617DE">
        <w:rPr>
          <w:rFonts w:ascii="Arial" w:hAnsi="Arial" w:cs="Arial"/>
        </w:rPr>
        <w:t>. It is anticipated that the Consolidation will be performed on a 0.</w:t>
      </w:r>
      <w:r w:rsidR="00B96ADD" w:rsidRPr="005617DE">
        <w:rPr>
          <w:rFonts w:ascii="Arial" w:hAnsi="Arial" w:cs="Arial"/>
        </w:rPr>
        <w:t>8</w:t>
      </w:r>
      <w:r w:rsidR="00B3774F" w:rsidRPr="005617DE">
        <w:rPr>
          <w:rFonts w:ascii="Arial" w:hAnsi="Arial" w:cs="Arial"/>
        </w:rPr>
        <w:t>1</w:t>
      </w:r>
      <w:r w:rsidR="00590BCA" w:rsidRPr="005617DE">
        <w:rPr>
          <w:rFonts w:ascii="Arial" w:hAnsi="Arial" w:cs="Arial"/>
        </w:rPr>
        <w:t>441</w:t>
      </w:r>
      <w:r w:rsidR="00896947" w:rsidRPr="005617DE">
        <w:rPr>
          <w:rFonts w:ascii="Arial" w:hAnsi="Arial" w:cs="Arial"/>
        </w:rPr>
        <w:t xml:space="preserve">:1 basis and as such, the number of Securities issued pursuant to the Consolidations will be reduced </w:t>
      </w:r>
      <w:r w:rsidR="0095695E" w:rsidRPr="005617DE">
        <w:rPr>
          <w:rFonts w:ascii="Arial" w:hAnsi="Arial" w:cs="Arial"/>
        </w:rPr>
        <w:t>to 1,</w:t>
      </w:r>
      <w:r w:rsidR="00561240" w:rsidRPr="005617DE">
        <w:rPr>
          <w:rFonts w:ascii="Arial" w:hAnsi="Arial" w:cs="Arial"/>
        </w:rPr>
        <w:t>303</w:t>
      </w:r>
      <w:r w:rsidR="0095695E" w:rsidRPr="005617DE">
        <w:rPr>
          <w:rFonts w:ascii="Arial" w:hAnsi="Arial" w:cs="Arial"/>
        </w:rPr>
        <w:t>,</w:t>
      </w:r>
      <w:r w:rsidR="00561240" w:rsidRPr="005617DE">
        <w:rPr>
          <w:rFonts w:ascii="Arial" w:hAnsi="Arial" w:cs="Arial"/>
        </w:rPr>
        <w:t>056</w:t>
      </w:r>
      <w:r w:rsidR="00896947" w:rsidRPr="005617DE">
        <w:rPr>
          <w:rFonts w:ascii="Arial" w:hAnsi="Arial" w:cs="Arial"/>
        </w:rPr>
        <w:t xml:space="preserve">. </w:t>
      </w:r>
    </w:p>
    <w:p w14:paraId="33BB2FDA" w14:textId="77777777" w:rsidR="00896947" w:rsidRPr="005617DE" w:rsidRDefault="00896947" w:rsidP="00896947">
      <w:pPr>
        <w:pStyle w:val="HTMLPreformatted"/>
        <w:jc w:val="both"/>
        <w:rPr>
          <w:rFonts w:ascii="Arial" w:hAnsi="Arial" w:cs="Arial"/>
        </w:rPr>
      </w:pPr>
    </w:p>
    <w:p w14:paraId="2F278B00" w14:textId="77777777" w:rsidR="00896947" w:rsidRPr="005617DE" w:rsidRDefault="00896947" w:rsidP="00896947">
      <w:pPr>
        <w:pStyle w:val="HTMLPreformatted"/>
        <w:numPr>
          <w:ilvl w:val="0"/>
          <w:numId w:val="1"/>
        </w:numPr>
        <w:ind w:left="360"/>
        <w:jc w:val="both"/>
        <w:rPr>
          <w:rFonts w:ascii="Arial" w:hAnsi="Arial" w:cs="Arial"/>
          <w:b/>
        </w:rPr>
      </w:pPr>
      <w:r w:rsidRPr="005617DE">
        <w:rPr>
          <w:rFonts w:ascii="Arial" w:hAnsi="Arial" w:cs="Arial"/>
          <w:b/>
        </w:rPr>
        <w:t xml:space="preserve">Salient dates pertaining to the Consolidations </w:t>
      </w:r>
    </w:p>
    <w:p w14:paraId="3F0497F7" w14:textId="77777777" w:rsidR="00896947" w:rsidRPr="005617DE" w:rsidRDefault="00896947" w:rsidP="00896947">
      <w:pPr>
        <w:pStyle w:val="HTMLPreformatted"/>
        <w:jc w:val="both"/>
        <w:rPr>
          <w:rFonts w:ascii="Arial" w:hAnsi="Arial" w:cs="Arial"/>
        </w:rPr>
      </w:pPr>
    </w:p>
    <w:tbl>
      <w:tblPr>
        <w:tblStyle w:val="TableGrid"/>
        <w:tblW w:w="93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407"/>
        <w:gridCol w:w="178"/>
      </w:tblGrid>
      <w:tr w:rsidR="00896947" w:rsidRPr="005617DE" w14:paraId="0246D79F" w14:textId="77777777" w:rsidTr="00D6223B">
        <w:trPr>
          <w:gridAfter w:val="1"/>
          <w:wAfter w:w="178" w:type="dxa"/>
        </w:trPr>
        <w:tc>
          <w:tcPr>
            <w:tcW w:w="6804" w:type="dxa"/>
            <w:tcBorders>
              <w:top w:val="single" w:sz="4" w:space="0" w:color="auto"/>
            </w:tcBorders>
          </w:tcPr>
          <w:p w14:paraId="2E46B87F" w14:textId="77777777" w:rsidR="00896947" w:rsidRPr="005617DE" w:rsidRDefault="00896947" w:rsidP="00BC4EC9">
            <w:pPr>
              <w:rPr>
                <w:rFonts w:ascii="Arial" w:hAnsi="Arial" w:cs="Arial"/>
                <w:color w:val="1F497D"/>
                <w:sz w:val="20"/>
                <w:szCs w:val="20"/>
              </w:rPr>
            </w:pPr>
          </w:p>
        </w:tc>
        <w:tc>
          <w:tcPr>
            <w:tcW w:w="2407" w:type="dxa"/>
            <w:tcBorders>
              <w:top w:val="single" w:sz="4" w:space="0" w:color="auto"/>
            </w:tcBorders>
            <w:hideMark/>
          </w:tcPr>
          <w:p w14:paraId="6A20AAD7" w14:textId="68256679" w:rsidR="00896947" w:rsidRPr="005617DE" w:rsidRDefault="00896947" w:rsidP="00BC4EC9">
            <w:pPr>
              <w:jc w:val="right"/>
              <w:rPr>
                <w:rFonts w:ascii="Arial" w:hAnsi="Arial" w:cs="Arial"/>
                <w:sz w:val="20"/>
                <w:szCs w:val="20"/>
              </w:rPr>
            </w:pPr>
            <w:r w:rsidRPr="005617DE">
              <w:rPr>
                <w:rFonts w:ascii="Arial" w:hAnsi="Arial" w:cs="Arial"/>
                <w:sz w:val="20"/>
                <w:szCs w:val="20"/>
              </w:rPr>
              <w:t>20</w:t>
            </w:r>
            <w:r w:rsidR="00C6638E" w:rsidRPr="005617DE">
              <w:rPr>
                <w:rFonts w:ascii="Arial" w:hAnsi="Arial" w:cs="Arial"/>
                <w:sz w:val="20"/>
                <w:szCs w:val="20"/>
              </w:rPr>
              <w:t>22</w:t>
            </w:r>
          </w:p>
        </w:tc>
      </w:tr>
      <w:tr w:rsidR="00896947" w:rsidRPr="005617DE" w14:paraId="6135E057" w14:textId="77777777" w:rsidTr="00D6223B">
        <w:trPr>
          <w:gridAfter w:val="1"/>
          <w:wAfter w:w="178" w:type="dxa"/>
        </w:trPr>
        <w:tc>
          <w:tcPr>
            <w:tcW w:w="6804" w:type="dxa"/>
            <w:tcBorders>
              <w:bottom w:val="single" w:sz="4" w:space="0" w:color="auto"/>
            </w:tcBorders>
          </w:tcPr>
          <w:p w14:paraId="72CA963F" w14:textId="77777777" w:rsidR="00896947" w:rsidRPr="005617DE" w:rsidRDefault="00896947" w:rsidP="00BC4EC9">
            <w:pPr>
              <w:rPr>
                <w:rFonts w:ascii="Arial" w:hAnsi="Arial" w:cs="Arial"/>
                <w:color w:val="1F497D"/>
                <w:sz w:val="20"/>
                <w:szCs w:val="20"/>
              </w:rPr>
            </w:pPr>
          </w:p>
        </w:tc>
        <w:tc>
          <w:tcPr>
            <w:tcW w:w="2407" w:type="dxa"/>
            <w:tcBorders>
              <w:bottom w:val="single" w:sz="4" w:space="0" w:color="auto"/>
            </w:tcBorders>
          </w:tcPr>
          <w:p w14:paraId="60F2E486" w14:textId="77777777" w:rsidR="00896947" w:rsidRPr="005617DE" w:rsidRDefault="00896947" w:rsidP="00BC4EC9">
            <w:pPr>
              <w:jc w:val="right"/>
              <w:rPr>
                <w:rFonts w:ascii="Arial" w:hAnsi="Arial" w:cs="Arial"/>
                <w:sz w:val="20"/>
                <w:szCs w:val="20"/>
              </w:rPr>
            </w:pPr>
          </w:p>
        </w:tc>
      </w:tr>
      <w:tr w:rsidR="00896947" w:rsidRPr="005617DE" w14:paraId="4FA324F0" w14:textId="77777777" w:rsidTr="00D6223B">
        <w:trPr>
          <w:gridAfter w:val="1"/>
          <w:wAfter w:w="178" w:type="dxa"/>
        </w:trPr>
        <w:tc>
          <w:tcPr>
            <w:tcW w:w="6804" w:type="dxa"/>
            <w:tcBorders>
              <w:top w:val="single" w:sz="4" w:space="0" w:color="auto"/>
            </w:tcBorders>
            <w:hideMark/>
          </w:tcPr>
          <w:p w14:paraId="6AEC4684" w14:textId="77777777" w:rsidR="00896947" w:rsidRPr="005617DE" w:rsidRDefault="00896947" w:rsidP="00BC4EC9">
            <w:pPr>
              <w:rPr>
                <w:rFonts w:ascii="Arial" w:hAnsi="Arial" w:cs="Arial"/>
                <w:sz w:val="20"/>
                <w:szCs w:val="20"/>
              </w:rPr>
            </w:pPr>
          </w:p>
          <w:p w14:paraId="055A18CA" w14:textId="314F09DF" w:rsidR="00896947" w:rsidRPr="005617DE" w:rsidRDefault="00896947" w:rsidP="00BC4EC9">
            <w:pPr>
              <w:rPr>
                <w:rFonts w:ascii="Arial" w:hAnsi="Arial" w:cs="Arial"/>
                <w:sz w:val="20"/>
                <w:szCs w:val="20"/>
              </w:rPr>
            </w:pPr>
            <w:r w:rsidRPr="005617DE">
              <w:rPr>
                <w:rFonts w:ascii="Arial" w:hAnsi="Arial" w:cs="Arial"/>
                <w:sz w:val="20"/>
                <w:szCs w:val="20"/>
              </w:rPr>
              <w:t xml:space="preserve">Last date to trade in </w:t>
            </w:r>
            <w:r w:rsidR="00DC6C0B" w:rsidRPr="005617DE">
              <w:rPr>
                <w:rFonts w:ascii="Arial" w:hAnsi="Arial" w:cs="Arial"/>
                <w:sz w:val="20"/>
                <w:szCs w:val="20"/>
              </w:rPr>
              <w:t xml:space="preserve">existing shares on the JSE prior </w:t>
            </w:r>
            <w:r w:rsidR="00F41E34" w:rsidRPr="005617DE">
              <w:rPr>
                <w:rFonts w:ascii="Arial" w:hAnsi="Arial" w:cs="Arial"/>
                <w:sz w:val="20"/>
                <w:szCs w:val="20"/>
              </w:rPr>
              <w:t xml:space="preserve">to the </w:t>
            </w:r>
            <w:r w:rsidRPr="005617DE">
              <w:rPr>
                <w:rFonts w:ascii="Arial" w:hAnsi="Arial" w:cs="Arial"/>
                <w:sz w:val="20"/>
                <w:szCs w:val="20"/>
              </w:rPr>
              <w:t xml:space="preserve">Consolidation </w:t>
            </w:r>
            <w:r w:rsidR="009C4140" w:rsidRPr="005617DE">
              <w:rPr>
                <w:rFonts w:ascii="Arial" w:hAnsi="Arial" w:cs="Arial"/>
                <w:sz w:val="20"/>
                <w:szCs w:val="20"/>
              </w:rPr>
              <w:t>under the old ISIN ZAE000265625</w:t>
            </w:r>
          </w:p>
        </w:tc>
        <w:tc>
          <w:tcPr>
            <w:tcW w:w="2407" w:type="dxa"/>
            <w:tcBorders>
              <w:top w:val="single" w:sz="4" w:space="0" w:color="auto"/>
            </w:tcBorders>
          </w:tcPr>
          <w:p w14:paraId="6C75A0F9" w14:textId="77777777" w:rsidR="00896947" w:rsidRPr="005617DE" w:rsidRDefault="00896947" w:rsidP="00BC4EC9">
            <w:pPr>
              <w:jc w:val="right"/>
              <w:rPr>
                <w:rFonts w:ascii="Arial" w:hAnsi="Arial" w:cs="Arial"/>
                <w:sz w:val="20"/>
                <w:szCs w:val="20"/>
              </w:rPr>
            </w:pPr>
          </w:p>
          <w:p w14:paraId="77AD5502" w14:textId="1C24793A" w:rsidR="00896947" w:rsidRPr="005617DE" w:rsidRDefault="006D1F3D" w:rsidP="00BC4EC9">
            <w:pPr>
              <w:jc w:val="right"/>
              <w:rPr>
                <w:rFonts w:ascii="Arial" w:hAnsi="Arial" w:cs="Arial"/>
                <w:sz w:val="20"/>
                <w:szCs w:val="20"/>
              </w:rPr>
            </w:pPr>
            <w:r w:rsidRPr="005617DE">
              <w:rPr>
                <w:rFonts w:ascii="Arial" w:hAnsi="Arial" w:cs="Arial"/>
                <w:sz w:val="20"/>
                <w:szCs w:val="20"/>
              </w:rPr>
              <w:t>Tuesday</w:t>
            </w:r>
            <w:r w:rsidR="00896947" w:rsidRPr="005617DE">
              <w:rPr>
                <w:rFonts w:ascii="Arial" w:hAnsi="Arial" w:cs="Arial"/>
                <w:sz w:val="20"/>
                <w:szCs w:val="20"/>
              </w:rPr>
              <w:t xml:space="preserve">, </w:t>
            </w:r>
            <w:r w:rsidR="0006444B" w:rsidRPr="005617DE">
              <w:rPr>
                <w:rFonts w:ascii="Arial" w:hAnsi="Arial" w:cs="Arial"/>
                <w:sz w:val="20"/>
                <w:szCs w:val="20"/>
              </w:rPr>
              <w:t>2</w:t>
            </w:r>
            <w:r w:rsidR="008B5559">
              <w:rPr>
                <w:rFonts w:ascii="Arial" w:hAnsi="Arial" w:cs="Arial"/>
                <w:sz w:val="20"/>
                <w:szCs w:val="20"/>
              </w:rPr>
              <w:t>3</w:t>
            </w:r>
            <w:r w:rsidR="00B216D4" w:rsidRPr="005617DE">
              <w:rPr>
                <w:rFonts w:ascii="Arial" w:hAnsi="Arial" w:cs="Arial"/>
                <w:sz w:val="20"/>
                <w:szCs w:val="20"/>
              </w:rPr>
              <w:t xml:space="preserve"> Decem</w:t>
            </w:r>
            <w:r w:rsidR="001A7EC0" w:rsidRPr="005617DE">
              <w:rPr>
                <w:rFonts w:ascii="Arial" w:hAnsi="Arial" w:cs="Arial"/>
                <w:sz w:val="20"/>
                <w:szCs w:val="20"/>
              </w:rPr>
              <w:t>ber</w:t>
            </w:r>
            <w:r w:rsidR="00896947" w:rsidRPr="005617DE">
              <w:rPr>
                <w:rFonts w:ascii="Arial" w:hAnsi="Arial" w:cs="Arial"/>
                <w:sz w:val="20"/>
                <w:szCs w:val="20"/>
              </w:rPr>
              <w:t xml:space="preserve"> </w:t>
            </w:r>
          </w:p>
        </w:tc>
      </w:tr>
      <w:tr w:rsidR="00896947" w:rsidRPr="005617DE" w14:paraId="1E3B1550" w14:textId="77777777" w:rsidTr="00D6223B">
        <w:tc>
          <w:tcPr>
            <w:tcW w:w="6804" w:type="dxa"/>
            <w:hideMark/>
          </w:tcPr>
          <w:p w14:paraId="40CCE4BA" w14:textId="77777777" w:rsidR="00896947" w:rsidRPr="005617DE" w:rsidRDefault="00896947" w:rsidP="00BC4EC9">
            <w:pPr>
              <w:rPr>
                <w:rFonts w:ascii="Arial" w:hAnsi="Arial" w:cs="Arial"/>
                <w:sz w:val="20"/>
                <w:szCs w:val="20"/>
              </w:rPr>
            </w:pPr>
          </w:p>
          <w:p w14:paraId="1B54C1BD" w14:textId="77777777" w:rsidR="003A5873" w:rsidRPr="005617DE" w:rsidRDefault="00896947" w:rsidP="00BC4EC9">
            <w:pPr>
              <w:rPr>
                <w:rFonts w:ascii="Arial" w:hAnsi="Arial" w:cs="Arial"/>
                <w:sz w:val="20"/>
                <w:szCs w:val="20"/>
              </w:rPr>
            </w:pPr>
            <w:r w:rsidRPr="005617DE">
              <w:rPr>
                <w:rFonts w:ascii="Arial" w:hAnsi="Arial" w:cs="Arial"/>
                <w:sz w:val="20"/>
                <w:szCs w:val="20"/>
              </w:rPr>
              <w:t>Consolidated Securit</w:t>
            </w:r>
            <w:r w:rsidR="00E20B43" w:rsidRPr="005617DE">
              <w:rPr>
                <w:rFonts w:ascii="Arial" w:hAnsi="Arial" w:cs="Arial"/>
                <w:sz w:val="20"/>
                <w:szCs w:val="20"/>
              </w:rPr>
              <w:t>y</w:t>
            </w:r>
            <w:r w:rsidRPr="005617DE">
              <w:rPr>
                <w:rFonts w:ascii="Arial" w:hAnsi="Arial" w:cs="Arial"/>
                <w:sz w:val="20"/>
                <w:szCs w:val="20"/>
              </w:rPr>
              <w:t xml:space="preserve"> begin</w:t>
            </w:r>
            <w:r w:rsidR="00E20B43" w:rsidRPr="005617DE">
              <w:rPr>
                <w:rFonts w:ascii="Arial" w:hAnsi="Arial" w:cs="Arial"/>
                <w:sz w:val="20"/>
                <w:szCs w:val="20"/>
              </w:rPr>
              <w:t>s</w:t>
            </w:r>
            <w:r w:rsidRPr="005617DE">
              <w:rPr>
                <w:rFonts w:ascii="Arial" w:hAnsi="Arial" w:cs="Arial"/>
                <w:sz w:val="20"/>
                <w:szCs w:val="20"/>
              </w:rPr>
              <w:t xml:space="preserve"> trading under the new </w:t>
            </w:r>
            <w:r w:rsidR="00FC47F9" w:rsidRPr="005617DE">
              <w:rPr>
                <w:rFonts w:ascii="Arial" w:hAnsi="Arial" w:cs="Arial"/>
                <w:sz w:val="20"/>
                <w:szCs w:val="20"/>
              </w:rPr>
              <w:t>red</w:t>
            </w:r>
            <w:r w:rsidR="003A5873" w:rsidRPr="005617DE">
              <w:rPr>
                <w:rFonts w:ascii="Arial" w:hAnsi="Arial" w:cs="Arial"/>
                <w:sz w:val="20"/>
                <w:szCs w:val="20"/>
              </w:rPr>
              <w:t xml:space="preserve">uced </w:t>
            </w:r>
          </w:p>
          <w:p w14:paraId="0F6F8FBC" w14:textId="74387E1F" w:rsidR="00896947" w:rsidRPr="005617DE" w:rsidRDefault="003A5873" w:rsidP="00BC4EC9">
            <w:pPr>
              <w:rPr>
                <w:rFonts w:ascii="Arial" w:hAnsi="Arial" w:cs="Arial"/>
                <w:sz w:val="20"/>
                <w:szCs w:val="20"/>
              </w:rPr>
            </w:pPr>
            <w:r w:rsidRPr="005617DE">
              <w:rPr>
                <w:rFonts w:ascii="Arial" w:hAnsi="Arial" w:cs="Arial"/>
                <w:sz w:val="20"/>
                <w:szCs w:val="20"/>
              </w:rPr>
              <w:t xml:space="preserve">Securities in issue </w:t>
            </w:r>
            <w:r w:rsidR="00A92775" w:rsidRPr="005617DE">
              <w:rPr>
                <w:rFonts w:ascii="Arial" w:hAnsi="Arial" w:cs="Arial"/>
                <w:sz w:val="20"/>
                <w:szCs w:val="20"/>
              </w:rPr>
              <w:t xml:space="preserve">under the new ISIN </w:t>
            </w:r>
            <w:r w:rsidR="00D83499" w:rsidRPr="005617DE">
              <w:rPr>
                <w:rFonts w:ascii="Arial" w:hAnsi="Arial" w:cs="Arial"/>
                <w:color w:val="242424"/>
                <w:sz w:val="20"/>
                <w:szCs w:val="20"/>
                <w:shd w:val="clear" w:color="auto" w:fill="FFFFFF"/>
              </w:rPr>
              <w:t>ZAE000316659</w:t>
            </w:r>
            <w:r w:rsidR="00D83499" w:rsidRPr="005617DE" w:rsidDel="00D83499">
              <w:rPr>
                <w:rFonts w:ascii="Arial" w:hAnsi="Arial" w:cs="Arial"/>
                <w:sz w:val="20"/>
                <w:szCs w:val="20"/>
              </w:rPr>
              <w:t xml:space="preserve"> </w:t>
            </w:r>
            <w:r w:rsidR="00896947" w:rsidRPr="005617DE">
              <w:rPr>
                <w:rFonts w:ascii="Arial" w:hAnsi="Arial" w:cs="Arial"/>
                <w:sz w:val="20"/>
                <w:szCs w:val="20"/>
              </w:rPr>
              <w:t xml:space="preserve">with effect from commencement of business </w:t>
            </w:r>
          </w:p>
        </w:tc>
        <w:tc>
          <w:tcPr>
            <w:tcW w:w="2585" w:type="dxa"/>
            <w:gridSpan w:val="2"/>
          </w:tcPr>
          <w:p w14:paraId="45E9E2CF" w14:textId="77777777" w:rsidR="00896947" w:rsidRPr="005617DE" w:rsidRDefault="00896947" w:rsidP="00BC4EC9">
            <w:pPr>
              <w:jc w:val="right"/>
              <w:rPr>
                <w:rFonts w:ascii="Arial" w:hAnsi="Arial" w:cs="Arial"/>
                <w:sz w:val="20"/>
                <w:szCs w:val="20"/>
              </w:rPr>
            </w:pPr>
          </w:p>
          <w:p w14:paraId="299DBCF0" w14:textId="77777777" w:rsidR="00896947" w:rsidRPr="005617DE" w:rsidRDefault="00896947" w:rsidP="003A5873">
            <w:pPr>
              <w:rPr>
                <w:rFonts w:ascii="Arial" w:hAnsi="Arial" w:cs="Arial"/>
                <w:sz w:val="20"/>
                <w:szCs w:val="20"/>
              </w:rPr>
            </w:pPr>
          </w:p>
          <w:p w14:paraId="236614DD" w14:textId="17BA34EE" w:rsidR="00896947" w:rsidRPr="005617DE" w:rsidRDefault="006D1F3D" w:rsidP="00D6223B">
            <w:pPr>
              <w:rPr>
                <w:rFonts w:ascii="Arial" w:hAnsi="Arial" w:cs="Arial"/>
                <w:sz w:val="20"/>
                <w:szCs w:val="20"/>
              </w:rPr>
            </w:pPr>
            <w:r w:rsidRPr="005617DE">
              <w:rPr>
                <w:rFonts w:ascii="Arial" w:hAnsi="Arial" w:cs="Arial"/>
                <w:sz w:val="20"/>
                <w:szCs w:val="20"/>
              </w:rPr>
              <w:t>Wednes</w:t>
            </w:r>
            <w:r w:rsidR="00896947" w:rsidRPr="005617DE">
              <w:rPr>
                <w:rFonts w:ascii="Arial" w:hAnsi="Arial" w:cs="Arial"/>
                <w:sz w:val="20"/>
                <w:szCs w:val="20"/>
              </w:rPr>
              <w:t xml:space="preserve">day, </w:t>
            </w:r>
            <w:r w:rsidR="00153A85" w:rsidRPr="005617DE">
              <w:rPr>
                <w:rFonts w:ascii="Arial" w:hAnsi="Arial" w:cs="Arial"/>
                <w:sz w:val="20"/>
                <w:szCs w:val="20"/>
              </w:rPr>
              <w:t>28</w:t>
            </w:r>
            <w:r w:rsidR="00896947" w:rsidRPr="005617DE">
              <w:rPr>
                <w:rFonts w:ascii="Arial" w:hAnsi="Arial" w:cs="Arial"/>
                <w:sz w:val="20"/>
                <w:szCs w:val="20"/>
              </w:rPr>
              <w:t xml:space="preserve"> </w:t>
            </w:r>
            <w:r w:rsidR="00B216D4" w:rsidRPr="005617DE">
              <w:rPr>
                <w:rFonts w:ascii="Arial" w:hAnsi="Arial" w:cs="Arial"/>
                <w:sz w:val="20"/>
                <w:szCs w:val="20"/>
              </w:rPr>
              <w:t>Decem</w:t>
            </w:r>
            <w:r w:rsidR="001A7EC0" w:rsidRPr="005617DE">
              <w:rPr>
                <w:rFonts w:ascii="Arial" w:hAnsi="Arial" w:cs="Arial"/>
                <w:sz w:val="20"/>
                <w:szCs w:val="20"/>
              </w:rPr>
              <w:t>ber</w:t>
            </w:r>
          </w:p>
        </w:tc>
      </w:tr>
      <w:tr w:rsidR="0011051C" w:rsidRPr="005617DE" w14:paraId="74130153" w14:textId="77777777" w:rsidTr="00D6223B">
        <w:tc>
          <w:tcPr>
            <w:tcW w:w="6804" w:type="dxa"/>
          </w:tcPr>
          <w:p w14:paraId="03F51F3E" w14:textId="77777777" w:rsidR="00D83499" w:rsidRPr="005617DE" w:rsidRDefault="00D83499" w:rsidP="00BC4EC9">
            <w:pPr>
              <w:rPr>
                <w:rFonts w:ascii="Arial" w:hAnsi="Arial" w:cs="Arial"/>
                <w:sz w:val="20"/>
                <w:szCs w:val="20"/>
              </w:rPr>
            </w:pPr>
          </w:p>
          <w:p w14:paraId="3BD1FEFA" w14:textId="5F9896A0" w:rsidR="0011051C" w:rsidRPr="005617DE" w:rsidRDefault="0011051C" w:rsidP="00BC4EC9">
            <w:pPr>
              <w:rPr>
                <w:rFonts w:ascii="Arial" w:hAnsi="Arial" w:cs="Arial"/>
                <w:sz w:val="20"/>
                <w:szCs w:val="20"/>
              </w:rPr>
            </w:pPr>
            <w:r w:rsidRPr="005617DE">
              <w:rPr>
                <w:rFonts w:ascii="Arial" w:hAnsi="Arial" w:cs="Arial"/>
                <w:sz w:val="20"/>
                <w:szCs w:val="20"/>
              </w:rPr>
              <w:t>Announcement</w:t>
            </w:r>
            <w:r w:rsidR="005B41E4" w:rsidRPr="005617DE">
              <w:rPr>
                <w:rFonts w:ascii="Arial" w:hAnsi="Arial" w:cs="Arial"/>
                <w:sz w:val="20"/>
                <w:szCs w:val="20"/>
              </w:rPr>
              <w:t xml:space="preserve"> released on SENS</w:t>
            </w:r>
            <w:r w:rsidRPr="005617DE">
              <w:rPr>
                <w:rFonts w:ascii="Arial" w:hAnsi="Arial" w:cs="Arial"/>
                <w:sz w:val="20"/>
                <w:szCs w:val="20"/>
              </w:rPr>
              <w:t xml:space="preserve"> in respect of </w:t>
            </w:r>
            <w:r w:rsidR="005B41E4" w:rsidRPr="005617DE">
              <w:rPr>
                <w:rFonts w:ascii="Arial" w:hAnsi="Arial" w:cs="Arial"/>
                <w:sz w:val="20"/>
                <w:szCs w:val="20"/>
              </w:rPr>
              <w:t xml:space="preserve">the cash </w:t>
            </w:r>
            <w:r w:rsidR="00A14603" w:rsidRPr="005617DE">
              <w:rPr>
                <w:rFonts w:ascii="Arial" w:hAnsi="Arial" w:cs="Arial"/>
                <w:sz w:val="20"/>
                <w:szCs w:val="20"/>
              </w:rPr>
              <w:t xml:space="preserve">payment applicable to </w:t>
            </w:r>
            <w:r w:rsidRPr="005617DE">
              <w:rPr>
                <w:rFonts w:ascii="Arial" w:hAnsi="Arial" w:cs="Arial"/>
                <w:sz w:val="20"/>
                <w:szCs w:val="20"/>
              </w:rPr>
              <w:t>fractional entitlements</w:t>
            </w:r>
            <w:r w:rsidR="00E512B8" w:rsidRPr="005617DE">
              <w:rPr>
                <w:rFonts w:ascii="Arial" w:hAnsi="Arial" w:cs="Arial"/>
                <w:sz w:val="20"/>
                <w:szCs w:val="20"/>
              </w:rPr>
              <w:t xml:space="preserve"> </w:t>
            </w:r>
            <w:r w:rsidR="00A14603" w:rsidRPr="005617DE">
              <w:rPr>
                <w:rFonts w:ascii="Arial" w:hAnsi="Arial" w:cs="Arial"/>
                <w:sz w:val="20"/>
                <w:szCs w:val="20"/>
              </w:rPr>
              <w:t>by</w:t>
            </w:r>
            <w:r w:rsidR="004F018E" w:rsidRPr="005617DE">
              <w:rPr>
                <w:rFonts w:ascii="Arial" w:hAnsi="Arial" w:cs="Arial"/>
                <w:sz w:val="20"/>
                <w:szCs w:val="20"/>
              </w:rPr>
              <w:t xml:space="preserve"> </w:t>
            </w:r>
            <w:r w:rsidR="00A14603" w:rsidRPr="005617DE">
              <w:rPr>
                <w:rFonts w:ascii="Arial" w:hAnsi="Arial" w:cs="Arial"/>
                <w:sz w:val="20"/>
                <w:szCs w:val="20"/>
              </w:rPr>
              <w:t>1</w:t>
            </w:r>
            <w:r w:rsidR="00E512B8" w:rsidRPr="005617DE">
              <w:rPr>
                <w:rFonts w:ascii="Arial" w:hAnsi="Arial" w:cs="Arial"/>
                <w:sz w:val="20"/>
                <w:szCs w:val="20"/>
              </w:rPr>
              <w:t>2</w:t>
            </w:r>
            <w:r w:rsidR="00A14603" w:rsidRPr="005617DE">
              <w:rPr>
                <w:rFonts w:ascii="Arial" w:hAnsi="Arial" w:cs="Arial"/>
                <w:sz w:val="20"/>
                <w:szCs w:val="20"/>
              </w:rPr>
              <w:t>:00</w:t>
            </w:r>
            <w:r w:rsidR="00AE230F" w:rsidRPr="005617DE">
              <w:rPr>
                <w:rFonts w:ascii="Arial" w:hAnsi="Arial" w:cs="Arial"/>
                <w:sz w:val="20"/>
                <w:szCs w:val="20"/>
              </w:rPr>
              <w:t xml:space="preserve"> on</w:t>
            </w:r>
          </w:p>
        </w:tc>
        <w:tc>
          <w:tcPr>
            <w:tcW w:w="2585" w:type="dxa"/>
            <w:gridSpan w:val="2"/>
          </w:tcPr>
          <w:p w14:paraId="47AF0B0A" w14:textId="77777777" w:rsidR="00D83499" w:rsidRPr="005617DE" w:rsidRDefault="00D83499" w:rsidP="00B216D4">
            <w:pPr>
              <w:rPr>
                <w:rFonts w:ascii="Arial" w:hAnsi="Arial" w:cs="Arial"/>
                <w:sz w:val="20"/>
                <w:szCs w:val="20"/>
              </w:rPr>
            </w:pPr>
          </w:p>
          <w:p w14:paraId="022F8521" w14:textId="54B449B4" w:rsidR="0011051C" w:rsidRPr="005617DE" w:rsidRDefault="0011051C" w:rsidP="00B216D4">
            <w:pPr>
              <w:rPr>
                <w:rFonts w:ascii="Arial" w:hAnsi="Arial" w:cs="Arial"/>
                <w:sz w:val="20"/>
                <w:szCs w:val="20"/>
              </w:rPr>
            </w:pPr>
            <w:r w:rsidRPr="005617DE">
              <w:rPr>
                <w:rFonts w:ascii="Arial" w:hAnsi="Arial" w:cs="Arial"/>
                <w:sz w:val="20"/>
                <w:szCs w:val="20"/>
              </w:rPr>
              <w:t xml:space="preserve">Thursday, </w:t>
            </w:r>
            <w:r w:rsidR="00153A85" w:rsidRPr="005617DE">
              <w:rPr>
                <w:rFonts w:ascii="Arial" w:hAnsi="Arial" w:cs="Arial"/>
                <w:sz w:val="20"/>
                <w:szCs w:val="20"/>
              </w:rPr>
              <w:t>29</w:t>
            </w:r>
            <w:r w:rsidRPr="005617DE">
              <w:rPr>
                <w:rFonts w:ascii="Arial" w:hAnsi="Arial" w:cs="Arial"/>
                <w:sz w:val="20"/>
                <w:szCs w:val="20"/>
              </w:rPr>
              <w:t xml:space="preserve"> December </w:t>
            </w:r>
          </w:p>
        </w:tc>
      </w:tr>
      <w:tr w:rsidR="00896947" w:rsidRPr="005617DE" w14:paraId="592EBD18" w14:textId="77777777" w:rsidTr="00D6223B">
        <w:trPr>
          <w:gridAfter w:val="1"/>
          <w:wAfter w:w="178" w:type="dxa"/>
        </w:trPr>
        <w:tc>
          <w:tcPr>
            <w:tcW w:w="6804" w:type="dxa"/>
            <w:hideMark/>
          </w:tcPr>
          <w:p w14:paraId="5BAD6C49" w14:textId="77777777" w:rsidR="00896947" w:rsidRPr="005617DE" w:rsidRDefault="00896947" w:rsidP="00BC4EC9">
            <w:pPr>
              <w:rPr>
                <w:rFonts w:ascii="Arial" w:hAnsi="Arial" w:cs="Arial"/>
                <w:sz w:val="20"/>
                <w:szCs w:val="20"/>
              </w:rPr>
            </w:pPr>
          </w:p>
          <w:p w14:paraId="27201EA3" w14:textId="2B4D873F" w:rsidR="00896947" w:rsidRPr="005617DE" w:rsidRDefault="00896947" w:rsidP="00BC4EC9">
            <w:pPr>
              <w:rPr>
                <w:rFonts w:ascii="Arial" w:hAnsi="Arial" w:cs="Arial"/>
                <w:sz w:val="20"/>
                <w:szCs w:val="20"/>
              </w:rPr>
            </w:pPr>
            <w:r w:rsidRPr="005617DE">
              <w:rPr>
                <w:rFonts w:ascii="Arial" w:hAnsi="Arial" w:cs="Arial"/>
                <w:sz w:val="20"/>
                <w:szCs w:val="20"/>
              </w:rPr>
              <w:t xml:space="preserve">Record date in respect of the Consolidation </w:t>
            </w:r>
          </w:p>
        </w:tc>
        <w:tc>
          <w:tcPr>
            <w:tcW w:w="2407" w:type="dxa"/>
          </w:tcPr>
          <w:p w14:paraId="16441F32" w14:textId="77777777" w:rsidR="00896947" w:rsidRPr="005617DE" w:rsidRDefault="00896947" w:rsidP="00BC4EC9">
            <w:pPr>
              <w:jc w:val="right"/>
              <w:rPr>
                <w:rFonts w:ascii="Arial" w:hAnsi="Arial" w:cs="Arial"/>
                <w:sz w:val="20"/>
                <w:szCs w:val="20"/>
              </w:rPr>
            </w:pPr>
          </w:p>
          <w:p w14:paraId="4E6D7BAF" w14:textId="01D4097D" w:rsidR="00896947" w:rsidRPr="005617DE" w:rsidRDefault="00896947" w:rsidP="00BC4EC9">
            <w:pPr>
              <w:jc w:val="right"/>
              <w:rPr>
                <w:rFonts w:ascii="Arial" w:hAnsi="Arial" w:cs="Arial"/>
                <w:sz w:val="20"/>
                <w:szCs w:val="20"/>
              </w:rPr>
            </w:pPr>
            <w:r w:rsidRPr="005617DE">
              <w:rPr>
                <w:rFonts w:ascii="Arial" w:hAnsi="Arial" w:cs="Arial"/>
                <w:sz w:val="20"/>
                <w:szCs w:val="20"/>
              </w:rPr>
              <w:t xml:space="preserve">Friday, </w:t>
            </w:r>
            <w:r w:rsidR="005A4372">
              <w:rPr>
                <w:rFonts w:ascii="Arial" w:hAnsi="Arial" w:cs="Arial"/>
                <w:sz w:val="20"/>
                <w:szCs w:val="20"/>
              </w:rPr>
              <w:t>30</w:t>
            </w:r>
            <w:r w:rsidRPr="005617DE">
              <w:rPr>
                <w:rFonts w:ascii="Arial" w:hAnsi="Arial" w:cs="Arial"/>
                <w:sz w:val="20"/>
                <w:szCs w:val="20"/>
              </w:rPr>
              <w:t xml:space="preserve"> </w:t>
            </w:r>
            <w:r w:rsidR="00E36101" w:rsidRPr="005617DE">
              <w:rPr>
                <w:rFonts w:ascii="Arial" w:hAnsi="Arial" w:cs="Arial"/>
                <w:sz w:val="20"/>
                <w:szCs w:val="20"/>
              </w:rPr>
              <w:t>Decem</w:t>
            </w:r>
            <w:r w:rsidR="00DF044D" w:rsidRPr="005617DE">
              <w:rPr>
                <w:rFonts w:ascii="Arial" w:hAnsi="Arial" w:cs="Arial"/>
                <w:sz w:val="20"/>
                <w:szCs w:val="20"/>
              </w:rPr>
              <w:t>ber</w:t>
            </w:r>
          </w:p>
        </w:tc>
      </w:tr>
      <w:tr w:rsidR="00896947" w:rsidRPr="005617DE" w14:paraId="1AA80E90" w14:textId="77777777" w:rsidTr="00D6223B">
        <w:trPr>
          <w:gridAfter w:val="1"/>
          <w:wAfter w:w="178" w:type="dxa"/>
        </w:trPr>
        <w:tc>
          <w:tcPr>
            <w:tcW w:w="6804" w:type="dxa"/>
            <w:tcBorders>
              <w:bottom w:val="single" w:sz="4" w:space="0" w:color="auto"/>
            </w:tcBorders>
          </w:tcPr>
          <w:p w14:paraId="7119175C" w14:textId="77777777" w:rsidR="00896947" w:rsidRPr="005617DE" w:rsidRDefault="00896947" w:rsidP="00BC4EC9">
            <w:pPr>
              <w:rPr>
                <w:rFonts w:ascii="Arial" w:hAnsi="Arial" w:cs="Arial"/>
                <w:sz w:val="20"/>
                <w:szCs w:val="20"/>
              </w:rPr>
            </w:pPr>
          </w:p>
          <w:p w14:paraId="6AA215DC" w14:textId="6CF0FFD7" w:rsidR="00896947" w:rsidRPr="005617DE" w:rsidRDefault="00896947" w:rsidP="00BC4EC9">
            <w:pPr>
              <w:rPr>
                <w:rFonts w:ascii="Arial" w:hAnsi="Arial" w:cs="Arial"/>
                <w:sz w:val="20"/>
                <w:szCs w:val="20"/>
              </w:rPr>
            </w:pPr>
            <w:r w:rsidRPr="005617DE">
              <w:rPr>
                <w:rFonts w:ascii="Arial" w:hAnsi="Arial" w:cs="Arial"/>
                <w:sz w:val="20"/>
                <w:szCs w:val="20"/>
              </w:rPr>
              <w:t xml:space="preserve">Accounts of </w:t>
            </w:r>
            <w:proofErr w:type="spellStart"/>
            <w:r w:rsidRPr="005617DE">
              <w:rPr>
                <w:rFonts w:ascii="Arial" w:hAnsi="Arial" w:cs="Arial"/>
                <w:sz w:val="20"/>
                <w:szCs w:val="20"/>
              </w:rPr>
              <w:t>dematerialised</w:t>
            </w:r>
            <w:proofErr w:type="spellEnd"/>
            <w:r w:rsidRPr="005617DE">
              <w:rPr>
                <w:rFonts w:ascii="Arial" w:hAnsi="Arial" w:cs="Arial"/>
                <w:sz w:val="20"/>
                <w:szCs w:val="20"/>
              </w:rPr>
              <w:t xml:space="preserve"> holders will have their Consolidated Securit</w:t>
            </w:r>
            <w:r w:rsidR="0089228D" w:rsidRPr="005617DE">
              <w:rPr>
                <w:rFonts w:ascii="Arial" w:hAnsi="Arial" w:cs="Arial"/>
                <w:sz w:val="20"/>
                <w:szCs w:val="20"/>
              </w:rPr>
              <w:t>y</w:t>
            </w:r>
            <w:r w:rsidRPr="005617DE">
              <w:rPr>
                <w:rFonts w:ascii="Arial" w:hAnsi="Arial" w:cs="Arial"/>
                <w:sz w:val="20"/>
                <w:szCs w:val="20"/>
              </w:rPr>
              <w:t xml:space="preserve"> updated</w:t>
            </w:r>
            <w:r w:rsidR="005D477E" w:rsidRPr="005617DE">
              <w:rPr>
                <w:rFonts w:ascii="Arial" w:hAnsi="Arial" w:cs="Arial"/>
                <w:sz w:val="20"/>
                <w:szCs w:val="20"/>
              </w:rPr>
              <w:t xml:space="preserve"> and allocation of fraction payments</w:t>
            </w:r>
            <w:r w:rsidR="00AE230F" w:rsidRPr="005617DE">
              <w:rPr>
                <w:rFonts w:ascii="Arial" w:hAnsi="Arial" w:cs="Arial"/>
                <w:sz w:val="20"/>
                <w:szCs w:val="20"/>
              </w:rPr>
              <w:t xml:space="preserve"> on</w:t>
            </w:r>
          </w:p>
        </w:tc>
        <w:tc>
          <w:tcPr>
            <w:tcW w:w="2407" w:type="dxa"/>
            <w:tcBorders>
              <w:bottom w:val="single" w:sz="4" w:space="0" w:color="auto"/>
            </w:tcBorders>
          </w:tcPr>
          <w:p w14:paraId="672D996C" w14:textId="77777777" w:rsidR="00896947" w:rsidRPr="005617DE" w:rsidRDefault="00896947" w:rsidP="00BC4EC9">
            <w:pPr>
              <w:jc w:val="right"/>
              <w:rPr>
                <w:rFonts w:ascii="Arial" w:hAnsi="Arial" w:cs="Arial"/>
                <w:sz w:val="20"/>
                <w:szCs w:val="20"/>
              </w:rPr>
            </w:pPr>
          </w:p>
          <w:p w14:paraId="5B63B1C7" w14:textId="58CEA151" w:rsidR="00896947" w:rsidRPr="005617DE" w:rsidRDefault="00D0379F" w:rsidP="00BC4EC9">
            <w:pPr>
              <w:jc w:val="right"/>
              <w:rPr>
                <w:rFonts w:ascii="Arial" w:hAnsi="Arial" w:cs="Arial"/>
                <w:sz w:val="20"/>
                <w:szCs w:val="20"/>
              </w:rPr>
            </w:pPr>
            <w:r>
              <w:rPr>
                <w:rFonts w:ascii="Arial" w:hAnsi="Arial" w:cs="Arial"/>
                <w:sz w:val="20"/>
                <w:szCs w:val="20"/>
              </w:rPr>
              <w:t>Tuesday</w:t>
            </w:r>
            <w:r w:rsidR="00896947" w:rsidRPr="005617DE">
              <w:rPr>
                <w:rFonts w:ascii="Arial" w:hAnsi="Arial" w:cs="Arial"/>
                <w:sz w:val="20"/>
                <w:szCs w:val="20"/>
              </w:rPr>
              <w:t xml:space="preserve">, </w:t>
            </w:r>
            <w:r w:rsidR="003A0777" w:rsidRPr="005617DE">
              <w:rPr>
                <w:rFonts w:ascii="Arial" w:hAnsi="Arial" w:cs="Arial"/>
                <w:sz w:val="20"/>
                <w:szCs w:val="20"/>
              </w:rPr>
              <w:t>0</w:t>
            </w:r>
            <w:r w:rsidR="00AB4C97">
              <w:rPr>
                <w:rFonts w:ascii="Arial" w:hAnsi="Arial" w:cs="Arial"/>
                <w:sz w:val="20"/>
                <w:szCs w:val="20"/>
              </w:rPr>
              <w:t>3</w:t>
            </w:r>
            <w:r w:rsidR="00896947" w:rsidRPr="005617DE">
              <w:rPr>
                <w:rFonts w:ascii="Arial" w:hAnsi="Arial" w:cs="Arial"/>
                <w:sz w:val="20"/>
                <w:szCs w:val="20"/>
              </w:rPr>
              <w:t xml:space="preserve"> </w:t>
            </w:r>
            <w:r w:rsidR="003A0777" w:rsidRPr="005617DE">
              <w:rPr>
                <w:rFonts w:ascii="Arial" w:hAnsi="Arial" w:cs="Arial"/>
                <w:sz w:val="20"/>
                <w:szCs w:val="20"/>
              </w:rPr>
              <w:t>January 2023</w:t>
            </w:r>
          </w:p>
        </w:tc>
      </w:tr>
    </w:tbl>
    <w:p w14:paraId="3C437A09" w14:textId="77777777" w:rsidR="00896947" w:rsidRPr="005617DE" w:rsidRDefault="00896947" w:rsidP="00896947">
      <w:pPr>
        <w:pStyle w:val="HTMLPreformatted"/>
        <w:jc w:val="both"/>
        <w:rPr>
          <w:rFonts w:ascii="Arial" w:hAnsi="Arial" w:cs="Arial"/>
        </w:rPr>
      </w:pPr>
    </w:p>
    <w:p w14:paraId="03AD8F4E" w14:textId="77777777" w:rsidR="00896947" w:rsidRPr="005617DE" w:rsidRDefault="00896947" w:rsidP="00896947">
      <w:pPr>
        <w:pStyle w:val="HTMLPreformatted"/>
        <w:jc w:val="both"/>
        <w:rPr>
          <w:rFonts w:ascii="Arial" w:hAnsi="Arial" w:cs="Arial"/>
        </w:rPr>
      </w:pPr>
    </w:p>
    <w:p w14:paraId="45A3FCFD" w14:textId="5353AE89" w:rsidR="00896947" w:rsidRPr="005617DE" w:rsidRDefault="00896947" w:rsidP="00896947">
      <w:pPr>
        <w:pStyle w:val="HTMLPreformatted"/>
        <w:jc w:val="both"/>
        <w:rPr>
          <w:rFonts w:ascii="Arial" w:hAnsi="Arial" w:cs="Arial"/>
        </w:rPr>
      </w:pPr>
      <w:r w:rsidRPr="005617DE">
        <w:rPr>
          <w:rFonts w:ascii="Arial" w:hAnsi="Arial" w:cs="Arial"/>
        </w:rPr>
        <w:t xml:space="preserve">In addition to JSE’s approval, the Manager has also received approval from the Financial Services Board for the Consolidation. </w:t>
      </w:r>
    </w:p>
    <w:p w14:paraId="3F2D50B9" w14:textId="77777777" w:rsidR="00896947" w:rsidRPr="005617DE" w:rsidRDefault="00896947" w:rsidP="00896947">
      <w:pPr>
        <w:pStyle w:val="HTMLPreformatted"/>
        <w:ind w:left="360"/>
        <w:jc w:val="both"/>
        <w:rPr>
          <w:rFonts w:ascii="Arial" w:hAnsi="Arial" w:cs="Arial"/>
        </w:rPr>
      </w:pPr>
    </w:p>
    <w:p w14:paraId="3E1C4B34" w14:textId="77777777" w:rsidR="00896947" w:rsidRPr="005617DE" w:rsidRDefault="00896947" w:rsidP="00896947">
      <w:pPr>
        <w:pStyle w:val="HTMLPreformatted"/>
        <w:jc w:val="both"/>
        <w:rPr>
          <w:rFonts w:ascii="Arial" w:hAnsi="Arial" w:cs="Arial"/>
        </w:rPr>
      </w:pPr>
      <w:r w:rsidRPr="005617DE">
        <w:rPr>
          <w:rFonts w:ascii="Arial" w:hAnsi="Arial" w:cs="Arial"/>
        </w:rPr>
        <w:t xml:space="preserve">Johannesburg                           </w:t>
      </w:r>
    </w:p>
    <w:p w14:paraId="5E7DDCFC" w14:textId="7F39A6FE" w:rsidR="00896947" w:rsidRPr="005617DE" w:rsidRDefault="00ED13B4" w:rsidP="00896947">
      <w:pPr>
        <w:pStyle w:val="HTMLPreformatted"/>
        <w:jc w:val="both"/>
        <w:rPr>
          <w:rFonts w:ascii="Arial" w:hAnsi="Arial" w:cs="Arial"/>
        </w:rPr>
      </w:pPr>
      <w:r>
        <w:rPr>
          <w:rFonts w:ascii="Arial" w:hAnsi="Arial" w:cs="Arial"/>
        </w:rPr>
        <w:t>19</w:t>
      </w:r>
      <w:r w:rsidR="002F5A20" w:rsidRPr="005617DE">
        <w:rPr>
          <w:rFonts w:ascii="Arial" w:hAnsi="Arial" w:cs="Arial"/>
        </w:rPr>
        <w:t xml:space="preserve"> December</w:t>
      </w:r>
      <w:r w:rsidR="00896947" w:rsidRPr="005617DE">
        <w:rPr>
          <w:rFonts w:ascii="Arial" w:hAnsi="Arial" w:cs="Arial"/>
        </w:rPr>
        <w:t xml:space="preserve"> 20</w:t>
      </w:r>
      <w:r w:rsidR="00AB6F86" w:rsidRPr="005617DE">
        <w:rPr>
          <w:rFonts w:ascii="Arial" w:hAnsi="Arial" w:cs="Arial"/>
        </w:rPr>
        <w:t>22</w:t>
      </w:r>
      <w:r w:rsidR="00896947" w:rsidRPr="005617DE">
        <w:rPr>
          <w:rFonts w:ascii="Arial" w:hAnsi="Arial" w:cs="Arial"/>
        </w:rPr>
        <w:t xml:space="preserve"> </w:t>
      </w:r>
    </w:p>
    <w:p w14:paraId="1D939A3F" w14:textId="77777777" w:rsidR="00896947" w:rsidRPr="005617DE" w:rsidRDefault="00896947" w:rsidP="00896947">
      <w:pPr>
        <w:pStyle w:val="HTMLPreformatted"/>
        <w:jc w:val="both"/>
        <w:rPr>
          <w:rFonts w:ascii="Arial" w:hAnsi="Arial" w:cs="Arial"/>
        </w:rPr>
      </w:pPr>
      <w:r w:rsidRPr="005617DE">
        <w:rPr>
          <w:rFonts w:ascii="Arial" w:hAnsi="Arial" w:cs="Arial"/>
        </w:rPr>
        <w:t xml:space="preserve">                                                              </w:t>
      </w:r>
    </w:p>
    <w:p w14:paraId="42912F8A" w14:textId="77777777" w:rsidR="00896947" w:rsidRPr="005617DE" w:rsidRDefault="00896947" w:rsidP="00896947">
      <w:pPr>
        <w:pStyle w:val="HTMLPreformatted"/>
        <w:jc w:val="both"/>
        <w:rPr>
          <w:rFonts w:ascii="Arial" w:hAnsi="Arial" w:cs="Arial"/>
        </w:rPr>
      </w:pPr>
      <w:r w:rsidRPr="005617DE">
        <w:rPr>
          <w:rFonts w:ascii="Arial" w:hAnsi="Arial" w:cs="Arial"/>
        </w:rPr>
        <w:t xml:space="preserve">Sponsor </w:t>
      </w:r>
    </w:p>
    <w:p w14:paraId="56D99401" w14:textId="77777777" w:rsidR="00896947" w:rsidRPr="005617DE" w:rsidRDefault="00896947" w:rsidP="00896947">
      <w:pPr>
        <w:pStyle w:val="HTMLPreformatted"/>
        <w:jc w:val="both"/>
        <w:rPr>
          <w:rFonts w:ascii="Arial" w:hAnsi="Arial" w:cs="Arial"/>
        </w:rPr>
      </w:pPr>
      <w:r w:rsidRPr="005617DE">
        <w:rPr>
          <w:rFonts w:ascii="Arial" w:hAnsi="Arial" w:cs="Arial"/>
        </w:rPr>
        <w:t>The Standard Bank of South Africa Limited                   </w:t>
      </w:r>
    </w:p>
    <w:sectPr w:rsidR="00896947" w:rsidRPr="005617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BCCD" w14:textId="77777777" w:rsidR="006C5BDF" w:rsidRDefault="006C5BDF" w:rsidP="007063BE">
      <w:pPr>
        <w:spacing w:after="0" w:line="240" w:lineRule="auto"/>
      </w:pPr>
      <w:r>
        <w:separator/>
      </w:r>
    </w:p>
  </w:endnote>
  <w:endnote w:type="continuationSeparator" w:id="0">
    <w:p w14:paraId="0977A377" w14:textId="77777777" w:rsidR="006C5BDF" w:rsidRDefault="006C5BDF" w:rsidP="0070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D6D9" w14:textId="77777777" w:rsidR="006C5BDF" w:rsidRDefault="006C5BDF" w:rsidP="007063BE">
      <w:pPr>
        <w:spacing w:after="0" w:line="240" w:lineRule="auto"/>
      </w:pPr>
      <w:r>
        <w:separator/>
      </w:r>
    </w:p>
  </w:footnote>
  <w:footnote w:type="continuationSeparator" w:id="0">
    <w:p w14:paraId="782161A4" w14:textId="77777777" w:rsidR="006C5BDF" w:rsidRDefault="006C5BDF" w:rsidP="00706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56A2"/>
    <w:multiLevelType w:val="multilevel"/>
    <w:tmpl w:val="95D4548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4065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CE"/>
    <w:rsid w:val="000119A7"/>
    <w:rsid w:val="0006444B"/>
    <w:rsid w:val="000E189F"/>
    <w:rsid w:val="0011051C"/>
    <w:rsid w:val="00153A85"/>
    <w:rsid w:val="00160A9A"/>
    <w:rsid w:val="001820B8"/>
    <w:rsid w:val="001A7EC0"/>
    <w:rsid w:val="001D264F"/>
    <w:rsid w:val="002316D3"/>
    <w:rsid w:val="00264A55"/>
    <w:rsid w:val="002811B0"/>
    <w:rsid w:val="002C577F"/>
    <w:rsid w:val="002F5A20"/>
    <w:rsid w:val="002F675C"/>
    <w:rsid w:val="00310556"/>
    <w:rsid w:val="00314188"/>
    <w:rsid w:val="00353B40"/>
    <w:rsid w:val="00384AB6"/>
    <w:rsid w:val="003A0777"/>
    <w:rsid w:val="003A5873"/>
    <w:rsid w:val="004145E7"/>
    <w:rsid w:val="004147F0"/>
    <w:rsid w:val="00433973"/>
    <w:rsid w:val="00455A04"/>
    <w:rsid w:val="004B48E3"/>
    <w:rsid w:val="004F018E"/>
    <w:rsid w:val="00517BC0"/>
    <w:rsid w:val="00525633"/>
    <w:rsid w:val="00561240"/>
    <w:rsid w:val="005617DE"/>
    <w:rsid w:val="00580E8B"/>
    <w:rsid w:val="00590BCA"/>
    <w:rsid w:val="005A4372"/>
    <w:rsid w:val="005B1817"/>
    <w:rsid w:val="005B41E4"/>
    <w:rsid w:val="005B6630"/>
    <w:rsid w:val="005C02DB"/>
    <w:rsid w:val="005D477E"/>
    <w:rsid w:val="005F7847"/>
    <w:rsid w:val="00601078"/>
    <w:rsid w:val="00614B88"/>
    <w:rsid w:val="00634926"/>
    <w:rsid w:val="00665100"/>
    <w:rsid w:val="006A1EDA"/>
    <w:rsid w:val="006A236D"/>
    <w:rsid w:val="006C5BDF"/>
    <w:rsid w:val="006D1F3D"/>
    <w:rsid w:val="006E59B1"/>
    <w:rsid w:val="007063BE"/>
    <w:rsid w:val="007447E6"/>
    <w:rsid w:val="00795B87"/>
    <w:rsid w:val="007B1A62"/>
    <w:rsid w:val="00804BB3"/>
    <w:rsid w:val="00824AD9"/>
    <w:rsid w:val="00856498"/>
    <w:rsid w:val="008642CE"/>
    <w:rsid w:val="00874A47"/>
    <w:rsid w:val="00887F59"/>
    <w:rsid w:val="0089228D"/>
    <w:rsid w:val="00896947"/>
    <w:rsid w:val="008B3CCA"/>
    <w:rsid w:val="008B5559"/>
    <w:rsid w:val="008F229D"/>
    <w:rsid w:val="009428F9"/>
    <w:rsid w:val="0095695E"/>
    <w:rsid w:val="00992A65"/>
    <w:rsid w:val="009C4140"/>
    <w:rsid w:val="009D2AA4"/>
    <w:rsid w:val="009D3A7B"/>
    <w:rsid w:val="00A14603"/>
    <w:rsid w:val="00A92775"/>
    <w:rsid w:val="00AB0556"/>
    <w:rsid w:val="00AB261E"/>
    <w:rsid w:val="00AB4C97"/>
    <w:rsid w:val="00AB6F86"/>
    <w:rsid w:val="00AE230F"/>
    <w:rsid w:val="00B0347C"/>
    <w:rsid w:val="00B069CA"/>
    <w:rsid w:val="00B157DC"/>
    <w:rsid w:val="00B20D65"/>
    <w:rsid w:val="00B216D4"/>
    <w:rsid w:val="00B3647F"/>
    <w:rsid w:val="00B3774F"/>
    <w:rsid w:val="00B678DB"/>
    <w:rsid w:val="00B96ADD"/>
    <w:rsid w:val="00B97181"/>
    <w:rsid w:val="00C25ECB"/>
    <w:rsid w:val="00C6638E"/>
    <w:rsid w:val="00CA34B8"/>
    <w:rsid w:val="00CB5903"/>
    <w:rsid w:val="00CF5CEF"/>
    <w:rsid w:val="00D0379F"/>
    <w:rsid w:val="00D6223B"/>
    <w:rsid w:val="00D83499"/>
    <w:rsid w:val="00DC6C0B"/>
    <w:rsid w:val="00DF044D"/>
    <w:rsid w:val="00DF69D4"/>
    <w:rsid w:val="00E20B43"/>
    <w:rsid w:val="00E36101"/>
    <w:rsid w:val="00E512B8"/>
    <w:rsid w:val="00ED13B4"/>
    <w:rsid w:val="00ED192B"/>
    <w:rsid w:val="00EF216A"/>
    <w:rsid w:val="00F30BB2"/>
    <w:rsid w:val="00F36342"/>
    <w:rsid w:val="00F41E34"/>
    <w:rsid w:val="00FA0414"/>
    <w:rsid w:val="00FC47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3BC46"/>
  <w15:chartTrackingRefBased/>
  <w15:docId w15:val="{536BD779-7180-4C87-A4E0-C52A5A49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96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96947"/>
    <w:rPr>
      <w:rFonts w:ascii="Courier New" w:hAnsi="Courier New" w:cs="Courier New"/>
      <w:sz w:val="20"/>
      <w:szCs w:val="20"/>
      <w:lang w:val="en-US"/>
    </w:rPr>
  </w:style>
  <w:style w:type="table" w:styleId="TableGrid">
    <w:name w:val="Table Grid"/>
    <w:basedOn w:val="TableNormal"/>
    <w:uiPriority w:val="59"/>
    <w:rsid w:val="008969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1EDA"/>
    <w:pPr>
      <w:spacing w:after="0" w:line="240" w:lineRule="auto"/>
    </w:pPr>
  </w:style>
  <w:style w:type="character" w:styleId="CommentReference">
    <w:name w:val="annotation reference"/>
    <w:basedOn w:val="DefaultParagraphFont"/>
    <w:uiPriority w:val="99"/>
    <w:semiHidden/>
    <w:unhideWhenUsed/>
    <w:rsid w:val="00795B87"/>
    <w:rPr>
      <w:sz w:val="16"/>
      <w:szCs w:val="16"/>
    </w:rPr>
  </w:style>
  <w:style w:type="paragraph" w:styleId="CommentText">
    <w:name w:val="annotation text"/>
    <w:basedOn w:val="Normal"/>
    <w:link w:val="CommentTextChar"/>
    <w:uiPriority w:val="99"/>
    <w:unhideWhenUsed/>
    <w:rsid w:val="00795B87"/>
    <w:pPr>
      <w:spacing w:line="240" w:lineRule="auto"/>
    </w:pPr>
    <w:rPr>
      <w:sz w:val="20"/>
      <w:szCs w:val="20"/>
    </w:rPr>
  </w:style>
  <w:style w:type="character" w:customStyle="1" w:styleId="CommentTextChar">
    <w:name w:val="Comment Text Char"/>
    <w:basedOn w:val="DefaultParagraphFont"/>
    <w:link w:val="CommentText"/>
    <w:uiPriority w:val="99"/>
    <w:rsid w:val="00795B87"/>
    <w:rPr>
      <w:sz w:val="20"/>
      <w:szCs w:val="20"/>
    </w:rPr>
  </w:style>
  <w:style w:type="paragraph" w:styleId="CommentSubject">
    <w:name w:val="annotation subject"/>
    <w:basedOn w:val="CommentText"/>
    <w:next w:val="CommentText"/>
    <w:link w:val="CommentSubjectChar"/>
    <w:uiPriority w:val="99"/>
    <w:semiHidden/>
    <w:unhideWhenUsed/>
    <w:rsid w:val="00795B87"/>
    <w:rPr>
      <w:b/>
      <w:bCs/>
    </w:rPr>
  </w:style>
  <w:style w:type="character" w:customStyle="1" w:styleId="CommentSubjectChar">
    <w:name w:val="Comment Subject Char"/>
    <w:basedOn w:val="CommentTextChar"/>
    <w:link w:val="CommentSubject"/>
    <w:uiPriority w:val="99"/>
    <w:semiHidden/>
    <w:rsid w:val="00795B87"/>
    <w:rPr>
      <w:b/>
      <w:bCs/>
      <w:sz w:val="20"/>
      <w:szCs w:val="20"/>
    </w:rPr>
  </w:style>
  <w:style w:type="paragraph" w:styleId="NoSpacing">
    <w:name w:val="No Spacing"/>
    <w:uiPriority w:val="1"/>
    <w:qFormat/>
    <w:rsid w:val="00561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5528FA61172342B08439CF43EBFECB" ma:contentTypeVersion="25" ma:contentTypeDescription="Create a new document." ma:contentTypeScope="" ma:versionID="fc861609d06d9848195a35a369c420cb">
  <xsd:schema xmlns:xsd="http://www.w3.org/2001/XMLSchema" xmlns:xs="http://www.w3.org/2001/XMLSchema" xmlns:p="http://schemas.microsoft.com/office/2006/metadata/properties" xmlns:ns2="95757e98-2b43-486c-8ee7-8b03e7fccc8c" xmlns:ns3="91707703-6d83-471d-b8a4-bea6ae42a849" xmlns:ns4="f273075f-d13a-4fa2-8a09-b81d59e928af" targetNamespace="http://schemas.microsoft.com/office/2006/metadata/properties" ma:root="true" ma:fieldsID="ce1d90c4fd9f1f821014c1001f4fb3c4" ns2:_="" ns3:_="" ns4:_="">
    <xsd:import namespace="95757e98-2b43-486c-8ee7-8b03e7fccc8c"/>
    <xsd:import namespace="91707703-6d83-471d-b8a4-bea6ae42a849"/>
    <xsd:import namespace="f273075f-d13a-4fa2-8a09-b81d59e928af"/>
    <xsd:element name="properties">
      <xsd:complexType>
        <xsd:sequence>
          <xsd:element name="documentManagement">
            <xsd:complexType>
              <xsd:all>
                <xsd:element ref="ns2:TaxCatchAll" minOccurs="0"/>
                <xsd:element ref="ns2:TaxCatchAllLabel" minOccurs="0"/>
                <xsd:element ref="ns2:acd85e62d5c14e5395eb980cc79ff142" minOccurs="0"/>
                <xsd:element ref="ns2:MetaDescription" minOccurs="0"/>
                <xsd:element ref="ns3:MediaServiceMetadata" minOccurs="0"/>
                <xsd:element ref="ns3:MediaServiceFastMetadata" minOccurs="0"/>
                <xsd:element ref="ns4:SharedWithUsers" minOccurs="0"/>
                <xsd:element ref="ns3:MediaServiceAutoKeyPoints" minOccurs="0"/>
                <xsd:element ref="ns3:MediaServiceKeyPoints" minOccurs="0"/>
                <xsd:element ref="ns4:SharedWithDetails"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57e98-2b43-486c-8ee7-8b03e7fccc8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db77a6-4896-4a20-9808-99e325f2c284}" ma:internalName="TaxCatchAll" ma:showField="CatchAllData" ma:web="f273075f-d13a-4fa2-8a09-b81d59e928a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db77a6-4896-4a20-9808-99e325f2c284}" ma:internalName="TaxCatchAllLabel" ma:readOnly="true" ma:showField="CatchAllDataLabel" ma:web="f273075f-d13a-4fa2-8a09-b81d59e928af">
      <xsd:complexType>
        <xsd:complexContent>
          <xsd:extension base="dms:MultiChoiceLookup">
            <xsd:sequence>
              <xsd:element name="Value" type="dms:Lookup" maxOccurs="unbounded" minOccurs="0" nillable="true"/>
            </xsd:sequence>
          </xsd:extension>
        </xsd:complexContent>
      </xsd:complexType>
    </xsd:element>
    <xsd:element name="acd85e62d5c14e5395eb980cc79ff142" ma:index="10" nillable="true" ma:taxonomy="true" ma:internalName="acd85e62d5c14e5395eb980cc79ff142" ma:taxonomyFieldName="MetaKeywords" ma:displayName="MetaKeywords" ma:readOnly="false" ma:default="" ma:fieldId="{acd85e62-d5c1-4e53-95eb-980cc79ff142}" ma:taxonomyMulti="true" ma:sspId="f436eb5e-c63d-4189-9248-e6e0fddb7cf9" ma:termSetId="1b81bd74-edac-423f-9865-4ef86d0522e5" ma:anchorId="00000000-0000-0000-0000-000000000000" ma:open="false" ma:isKeyword="false">
      <xsd:complexType>
        <xsd:sequence>
          <xsd:element ref="pc:Terms" minOccurs="0" maxOccurs="1"/>
        </xsd:sequence>
      </xsd:complexType>
    </xsd:element>
    <xsd:element name="MetaDescription" ma:index="12" nillable="true" ma:displayName="MetaDescription" ma:internalName="Meta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707703-6d83-471d-b8a4-bea6ae42a84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436eb5e-c63d-4189-9248-e6e0fddb7c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73075f-d13a-4fa2-8a09-b81d59e928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436eb5e-c63d-4189-9248-e6e0fddb7cf9"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5757e98-2b43-486c-8ee7-8b03e7fccc8c" xsi:nil="true"/>
    <lcf76f155ced4ddcb4097134ff3c332f xmlns="91707703-6d83-471d-b8a4-bea6ae42a849">
      <Terms xmlns="http://schemas.microsoft.com/office/infopath/2007/PartnerControls"/>
    </lcf76f155ced4ddcb4097134ff3c332f>
    <MetaDescription xmlns="95757e98-2b43-486c-8ee7-8b03e7fccc8c" xsi:nil="true"/>
    <acd85e62d5c14e5395eb980cc79ff142 xmlns="95757e98-2b43-486c-8ee7-8b03e7fccc8c">
      <Terms xmlns="http://schemas.microsoft.com/office/infopath/2007/PartnerControls"/>
    </acd85e62d5c14e5395eb980cc79ff142>
  </documentManagement>
</p:properties>
</file>

<file path=customXml/itemProps1.xml><?xml version="1.0" encoding="utf-8"?>
<ds:datastoreItem xmlns:ds="http://schemas.openxmlformats.org/officeDocument/2006/customXml" ds:itemID="{EE963041-EAE1-4434-9D4B-44A25986834B}">
  <ds:schemaRefs>
    <ds:schemaRef ds:uri="http://schemas.openxmlformats.org/officeDocument/2006/bibliography"/>
  </ds:schemaRefs>
</ds:datastoreItem>
</file>

<file path=customXml/itemProps2.xml><?xml version="1.0" encoding="utf-8"?>
<ds:datastoreItem xmlns:ds="http://schemas.openxmlformats.org/officeDocument/2006/customXml" ds:itemID="{3333859B-FE38-449E-9945-703968164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57e98-2b43-486c-8ee7-8b03e7fccc8c"/>
    <ds:schemaRef ds:uri="91707703-6d83-471d-b8a4-bea6ae42a849"/>
    <ds:schemaRef ds:uri="f273075f-d13a-4fa2-8a09-b81d59e92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475D8-1FB5-4F73-89CE-588083F24A52}">
  <ds:schemaRefs>
    <ds:schemaRef ds:uri="Microsoft.SharePoint.Taxonomy.ContentTypeSync"/>
  </ds:schemaRefs>
</ds:datastoreItem>
</file>

<file path=customXml/itemProps4.xml><?xml version="1.0" encoding="utf-8"?>
<ds:datastoreItem xmlns:ds="http://schemas.openxmlformats.org/officeDocument/2006/customXml" ds:itemID="{F0A5C477-ED3E-4C91-9F46-63649A3195C4}">
  <ds:schemaRefs>
    <ds:schemaRef ds:uri="http://schemas.microsoft.com/sharepoint/v3/contenttype/forms"/>
  </ds:schemaRefs>
</ds:datastoreItem>
</file>

<file path=customXml/itemProps5.xml><?xml version="1.0" encoding="utf-8"?>
<ds:datastoreItem xmlns:ds="http://schemas.openxmlformats.org/officeDocument/2006/customXml" ds:itemID="{4D70BE2C-B994-4E5F-8837-337FFD5E65A2}">
  <ds:schemaRefs>
    <ds:schemaRef ds:uri="http://schemas.microsoft.com/office/2006/metadata/properties"/>
    <ds:schemaRef ds:uri="http://schemas.microsoft.com/office/infopath/2007/PartnerControls"/>
    <ds:schemaRef ds:uri="95757e98-2b43-486c-8ee7-8b03e7fccc8c"/>
    <ds:schemaRef ds:uri="91707703-6d83-471d-b8a4-bea6ae42a849"/>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Basdeo, Ryan R</dc:creator>
  <cp:keywords/>
  <dc:description/>
  <cp:lastModifiedBy>Mdakane, Sizwe</cp:lastModifiedBy>
  <cp:revision>13</cp:revision>
  <dcterms:created xsi:type="dcterms:W3CDTF">2022-12-06T09:18:00Z</dcterms:created>
  <dcterms:modified xsi:type="dcterms:W3CDTF">2022-12-28T09:21:00Z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7a3850-2850-457c-8efb-fdd5fa4d27d3_Enabled">
    <vt:lpwstr>true</vt:lpwstr>
  </property>
  <property fmtid="{D5CDD505-2E9C-101B-9397-08002B2CF9AE}" pid="3" name="MSIP_Label_027a3850-2850-457c-8efb-fdd5fa4d27d3_SetDate">
    <vt:lpwstr>2022-07-18T14:02:44Z</vt:lpwstr>
  </property>
  <property fmtid="{D5CDD505-2E9C-101B-9397-08002B2CF9AE}" pid="4" name="MSIP_Label_027a3850-2850-457c-8efb-fdd5fa4d27d3_Method">
    <vt:lpwstr>Standard</vt:lpwstr>
  </property>
  <property fmtid="{D5CDD505-2E9C-101B-9397-08002B2CF9AE}" pid="5" name="MSIP_Label_027a3850-2850-457c-8efb-fdd5fa4d27d3_Name">
    <vt:lpwstr>027a3850-2850-457c-8efb-fdd5fa4d27d3</vt:lpwstr>
  </property>
  <property fmtid="{D5CDD505-2E9C-101B-9397-08002B2CF9AE}" pid="6" name="MSIP_Label_027a3850-2850-457c-8efb-fdd5fa4d27d3_SiteId">
    <vt:lpwstr>7369e6ec-faa6-42fa-bc0e-4f332da5b1db</vt:lpwstr>
  </property>
  <property fmtid="{D5CDD505-2E9C-101B-9397-08002B2CF9AE}" pid="7" name="MSIP_Label_027a3850-2850-457c-8efb-fdd5fa4d27d3_ActionId">
    <vt:lpwstr>0c12cdf4-d481-495e-81bc-b8c2d1d68f8f</vt:lpwstr>
  </property>
  <property fmtid="{D5CDD505-2E9C-101B-9397-08002B2CF9AE}" pid="8" name="MSIP_Label_027a3850-2850-457c-8efb-fdd5fa4d27d3_ContentBits">
    <vt:lpwstr>0</vt:lpwstr>
  </property>
  <property fmtid="{D5CDD505-2E9C-101B-9397-08002B2CF9AE}" pid="9" name="ContentTypeId">
    <vt:lpwstr>0x010100B05528FA61172342B08439CF43EBFECB</vt:lpwstr>
  </property>
  <property fmtid="{D5CDD505-2E9C-101B-9397-08002B2CF9AE}" pid="10" name="MediaServiceImageTags">
    <vt:lpwstr/>
  </property>
  <property fmtid="{D5CDD505-2E9C-101B-9397-08002B2CF9AE}" pid="11" name="MetaKeywords">
    <vt:lpwstr/>
  </property>
  <property fmtid="{D5CDD505-2E9C-101B-9397-08002B2CF9AE}" pid="12" name="MSIP_Label_2fa30cac-7c84-4351-8c05-640b2a111c59_Enabled">
    <vt:lpwstr>true</vt:lpwstr>
  </property>
  <property fmtid="{D5CDD505-2E9C-101B-9397-08002B2CF9AE}" pid="13" name="MSIP_Label_2fa30cac-7c84-4351-8c05-640b2a111c59_SetDate">
    <vt:lpwstr>2022-11-24T13:07:44Z</vt:lpwstr>
  </property>
  <property fmtid="{D5CDD505-2E9C-101B-9397-08002B2CF9AE}" pid="14" name="MSIP_Label_2fa30cac-7c84-4351-8c05-640b2a111c59_Name">
    <vt:lpwstr>Confidential</vt:lpwstr>
  </property>
  <property fmtid="{D5CDD505-2E9C-101B-9397-08002B2CF9AE}" pid="15" name="MSIP_Label_2fa30cac-7c84-4351-8c05-640b2a111c59_SiteId">
    <vt:lpwstr>cffa6640-7572-4f05-9c64-cd88068c19d4</vt:lpwstr>
  </property>
  <property fmtid="{D5CDD505-2E9C-101B-9397-08002B2CF9AE}" pid="16" name="MSIP_Label_2fa30cac-7c84-4351-8c05-640b2a111c59_ActionId">
    <vt:lpwstr>0eef98bd-17c1-44be-8831-cbc1ac58e55b</vt:lpwstr>
  </property>
  <property fmtid="{D5CDD505-2E9C-101B-9397-08002B2CF9AE}" pid="17" name="MSIP_Label_2fa30cac-7c84-4351-8c05-640b2a111c59_ContentBits">
    <vt:lpwstr>0</vt:lpwstr>
  </property>
  <property fmtid="{D5CDD505-2E9C-101B-9397-08002B2CF9AE}" pid="18" name="MSIP_Label_2fa30cac-7c84-4351-8c05-640b2a111c59_Method">
    <vt:lpwstr>Standard</vt:lpwstr>
  </property>
</Properties>
</file>